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54" w:rsidRPr="00474E29" w:rsidRDefault="00981F54" w:rsidP="00981F54">
      <w:pPr>
        <w:jc w:val="right"/>
        <w:rPr>
          <w:b/>
        </w:rPr>
      </w:pPr>
      <w:r>
        <w:rPr>
          <w:b/>
        </w:rPr>
        <w:t>Appendix 'A'</w:t>
      </w:r>
    </w:p>
    <w:p w:rsidR="00981F54" w:rsidRPr="00474E29" w:rsidRDefault="00981F54" w:rsidP="00981F54">
      <w:pPr>
        <w:rPr>
          <w:b/>
        </w:rPr>
      </w:pPr>
      <w:r>
        <w:rPr>
          <w:b/>
        </w:rPr>
        <w:t>Private Equity S</w:t>
      </w:r>
      <w:r w:rsidRPr="00474E29">
        <w:rPr>
          <w:b/>
        </w:rPr>
        <w:t>trategy</w:t>
      </w:r>
    </w:p>
    <w:p w:rsidR="00981F54" w:rsidRDefault="00981F54" w:rsidP="00981F54"/>
    <w:p w:rsidR="00981F54" w:rsidRPr="00BE3C88" w:rsidRDefault="00981F54" w:rsidP="00981F54">
      <w:pPr>
        <w:pStyle w:val="ListParagraph"/>
        <w:numPr>
          <w:ilvl w:val="0"/>
          <w:numId w:val="1"/>
        </w:numPr>
        <w:spacing w:after="200"/>
        <w:ind w:left="357" w:hanging="357"/>
        <w:rPr>
          <w:b/>
        </w:rPr>
      </w:pPr>
      <w:r w:rsidRPr="00BE3C88">
        <w:rPr>
          <w:b/>
        </w:rPr>
        <w:t>Overview of the Current Private Equity Portfolio and how it is Managed</w:t>
      </w:r>
    </w:p>
    <w:p w:rsidR="00981F54" w:rsidRPr="00E97465" w:rsidRDefault="00981F54" w:rsidP="00981F54">
      <w:pPr>
        <w:pStyle w:val="NJHSubHead1"/>
        <w:numPr>
          <w:ilvl w:val="1"/>
          <w:numId w:val="1"/>
        </w:numPr>
        <w:ind w:left="567" w:hanging="567"/>
      </w:pPr>
      <w:r>
        <w:t xml:space="preserve">Overview of Current </w:t>
      </w:r>
      <w:r w:rsidRPr="00E97465">
        <w:t>Portfolio</w:t>
      </w:r>
    </w:p>
    <w:p w:rsidR="00981F54" w:rsidRDefault="00981F54" w:rsidP="00981F54">
      <w:pPr>
        <w:pStyle w:val="BodyText1"/>
      </w:pPr>
      <w:r>
        <w:t xml:space="preserve">The </w:t>
      </w:r>
      <w:proofErr w:type="spellStart"/>
      <w:r>
        <w:t>LCPF</w:t>
      </w:r>
      <w:proofErr w:type="spellEnd"/>
      <w:r>
        <w:t xml:space="preserve"> private equity (PE) fund has </w:t>
      </w:r>
      <w:proofErr w:type="spellStart"/>
      <w:r>
        <w:t>NAV</w:t>
      </w:r>
      <w:proofErr w:type="spellEnd"/>
      <w:r>
        <w:t xml:space="preserve"> (net asset value) of approximately £</w:t>
      </w:r>
      <w:proofErr w:type="spellStart"/>
      <w:r>
        <w:t>250m</w:t>
      </w:r>
      <w:proofErr w:type="spellEnd"/>
      <w:r>
        <w:t xml:space="preserve">, which equates to </w:t>
      </w:r>
      <w:r w:rsidRPr="00402EC4">
        <w:t>5%</w:t>
      </w:r>
      <w:r>
        <w:t xml:space="preserve"> of the total £</w:t>
      </w:r>
      <w:proofErr w:type="spellStart"/>
      <w:r>
        <w:t>5bn</w:t>
      </w:r>
      <w:proofErr w:type="spellEnd"/>
      <w:r>
        <w:t xml:space="preserve"> pension fund, as at June 2013. This is invested across 28 different managers, in 69 funds and gives exposure to over 1000 underlying companies. The capital has been committed with the support of Capital Dynamics:</w:t>
      </w:r>
    </w:p>
    <w:p w:rsidR="00981F54" w:rsidRDefault="00981F54" w:rsidP="00981F54">
      <w:r w:rsidRPr="006738F4">
        <w:rPr>
          <w:noProof/>
        </w:rPr>
        <w:drawing>
          <wp:inline distT="0" distB="0" distL="0" distR="0">
            <wp:extent cx="5755640" cy="2612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640" cy="2612075"/>
                    </a:xfrm>
                    <a:prstGeom prst="rect">
                      <a:avLst/>
                    </a:prstGeom>
                    <a:noFill/>
                    <a:ln>
                      <a:noFill/>
                    </a:ln>
                  </pic:spPr>
                </pic:pic>
              </a:graphicData>
            </a:graphic>
          </wp:inline>
        </w:drawing>
      </w:r>
    </w:p>
    <w:p w:rsidR="00981F54" w:rsidRDefault="00981F54" w:rsidP="00981F54">
      <w:pPr>
        <w:pStyle w:val="BodyText1"/>
      </w:pPr>
      <w:r>
        <w:t xml:space="preserve">The vast majority of </w:t>
      </w:r>
      <w:proofErr w:type="spellStart"/>
      <w:r>
        <w:t>LCPF's</w:t>
      </w:r>
      <w:proofErr w:type="spellEnd"/>
      <w:r>
        <w:t xml:space="preserve"> exposure is to buyouts of companies located in developed western markets. This is the main arena for global private equity. It also has some exposure to venture capital, to Asian funds and to non-primary funds.</w:t>
      </w:r>
    </w:p>
    <w:p w:rsidR="00981F54" w:rsidRDefault="00981F54" w:rsidP="00981F54">
      <w:pPr>
        <w:pStyle w:val="BodyText1"/>
      </w:pPr>
      <w:r>
        <w:t xml:space="preserve">85% of the current </w:t>
      </w:r>
      <w:proofErr w:type="spellStart"/>
      <w:r>
        <w:t>NAV</w:t>
      </w:r>
      <w:proofErr w:type="spellEnd"/>
      <w:r>
        <w:t xml:space="preserve"> exposure is concentrated in 25% of the managers, though this does not fully consider the diversification from funds of funds (see chart, below):</w:t>
      </w:r>
    </w:p>
    <w:p w:rsidR="00981F54" w:rsidRPr="00BE3C88" w:rsidRDefault="00981F54" w:rsidP="00981F54">
      <w:pPr>
        <w:rPr>
          <w:b/>
        </w:rPr>
      </w:pPr>
      <w:proofErr w:type="spellStart"/>
      <w:r w:rsidRPr="00BE3C88">
        <w:rPr>
          <w:b/>
        </w:rPr>
        <w:t>LCPF</w:t>
      </w:r>
      <w:proofErr w:type="spellEnd"/>
      <w:r w:rsidRPr="00BE3C88">
        <w:rPr>
          <w:b/>
        </w:rPr>
        <w:t xml:space="preserve"> Exposure by PE Manager (Net Asset Value, 31 Aug 2013)</w:t>
      </w:r>
    </w:p>
    <w:p w:rsidR="00981F54" w:rsidRDefault="00981F54" w:rsidP="00981F54">
      <w:pPr>
        <w:rPr>
          <w:b/>
          <w:u w:val="single"/>
        </w:rPr>
      </w:pPr>
    </w:p>
    <w:p w:rsidR="00981F54" w:rsidRDefault="00981F54" w:rsidP="00981F54">
      <w:r>
        <w:rPr>
          <w:noProof/>
        </w:rPr>
        <w:drawing>
          <wp:inline distT="0" distB="0" distL="0" distR="0">
            <wp:extent cx="4695825" cy="20097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1F54" w:rsidRDefault="00981F54" w:rsidP="00981F54">
      <w:pPr>
        <w:rPr>
          <w:sz w:val="16"/>
          <w:szCs w:val="16"/>
        </w:rPr>
      </w:pPr>
    </w:p>
    <w:p w:rsidR="00981F54" w:rsidRDefault="00981F54" w:rsidP="00981F54">
      <w:pPr>
        <w:rPr>
          <w:sz w:val="16"/>
          <w:szCs w:val="16"/>
        </w:rPr>
      </w:pPr>
      <w:r w:rsidRPr="00071A15">
        <w:rPr>
          <w:sz w:val="16"/>
          <w:szCs w:val="16"/>
        </w:rPr>
        <w:t>The chart</w:t>
      </w:r>
      <w:r>
        <w:rPr>
          <w:sz w:val="16"/>
          <w:szCs w:val="16"/>
        </w:rPr>
        <w:t xml:space="preserve"> above</w:t>
      </w:r>
      <w:r w:rsidRPr="00071A15">
        <w:rPr>
          <w:sz w:val="16"/>
          <w:szCs w:val="16"/>
        </w:rPr>
        <w:t xml:space="preserve"> classifies all Capital Dynamics funds together. This includes </w:t>
      </w:r>
      <w:r>
        <w:rPr>
          <w:sz w:val="16"/>
          <w:szCs w:val="16"/>
        </w:rPr>
        <w:t xml:space="preserve">CD </w:t>
      </w:r>
      <w:r w:rsidRPr="00071A15">
        <w:rPr>
          <w:sz w:val="16"/>
          <w:szCs w:val="16"/>
        </w:rPr>
        <w:t>funds of funds, which are diversified across many underlying managers. The risk relating to Capital Dynamic</w:t>
      </w:r>
      <w:r>
        <w:rPr>
          <w:sz w:val="16"/>
          <w:szCs w:val="16"/>
        </w:rPr>
        <w:t>s i</w:t>
      </w:r>
      <w:r w:rsidRPr="00071A15">
        <w:rPr>
          <w:sz w:val="16"/>
          <w:szCs w:val="16"/>
        </w:rPr>
        <w:t>s diversified across more managers than it might initially appear.</w:t>
      </w:r>
    </w:p>
    <w:p w:rsidR="00981F54" w:rsidRDefault="00981F54" w:rsidP="00981F54">
      <w:pPr>
        <w:rPr>
          <w:sz w:val="16"/>
          <w:szCs w:val="16"/>
        </w:rPr>
      </w:pPr>
    </w:p>
    <w:p w:rsidR="00981F54" w:rsidRPr="00E97465" w:rsidRDefault="00981F54" w:rsidP="00981F54">
      <w:pPr>
        <w:pStyle w:val="NJHSubHead1"/>
        <w:numPr>
          <w:ilvl w:val="1"/>
          <w:numId w:val="1"/>
        </w:numPr>
        <w:ind w:left="567" w:hanging="567"/>
      </w:pPr>
      <w:r>
        <w:lastRenderedPageBreak/>
        <w:t>Fund Types</w:t>
      </w:r>
      <w:r w:rsidRPr="00E97465">
        <w:t xml:space="preserve"> in the </w:t>
      </w:r>
      <w:r>
        <w:t xml:space="preserve">PE </w:t>
      </w:r>
      <w:r w:rsidRPr="00E97465">
        <w:t>Portfolio</w:t>
      </w:r>
    </w:p>
    <w:p w:rsidR="00981F54" w:rsidRDefault="00981F54" w:rsidP="00981F54">
      <w:r>
        <w:t>Individual Primary Funds</w:t>
      </w:r>
    </w:p>
    <w:p w:rsidR="00981F54" w:rsidRDefault="00981F54" w:rsidP="00981F54">
      <w:pPr>
        <w:pStyle w:val="BodyText1"/>
        <w:spacing w:before="0" w:after="0"/>
      </w:pPr>
      <w:proofErr w:type="spellStart"/>
      <w:r>
        <w:t>LCPF's</w:t>
      </w:r>
      <w:proofErr w:type="spellEnd"/>
      <w:r>
        <w:t xml:space="preserve"> individual primary funds are identified by Capital Dynamics, with a one-off finder's fee paid. Fees are also paid to the primary fund managers, typically 2% p.a. and 20% of profits ('carry'). The finder's fee is relatively inexpensive, compared to funds of funds and allows </w:t>
      </w:r>
      <w:proofErr w:type="spellStart"/>
      <w:r>
        <w:t>LCPF</w:t>
      </w:r>
      <w:proofErr w:type="spellEnd"/>
      <w:r>
        <w:t xml:space="preserve"> to leverage off Capital Dynamics' research.</w:t>
      </w:r>
    </w:p>
    <w:p w:rsidR="00981F54" w:rsidRDefault="00981F54" w:rsidP="00981F54">
      <w:pPr>
        <w:pStyle w:val="BodyText1"/>
        <w:spacing w:before="0" w:after="0"/>
      </w:pPr>
    </w:p>
    <w:p w:rsidR="00981F54" w:rsidRDefault="00981F54" w:rsidP="00981F54">
      <w:r>
        <w:t>Primary Funds of Funds</w:t>
      </w:r>
    </w:p>
    <w:p w:rsidR="00981F54" w:rsidRPr="00A60EA5" w:rsidRDefault="00981F54" w:rsidP="00981F54">
      <w:pPr>
        <w:pStyle w:val="BodyText1"/>
        <w:spacing w:before="0" w:after="0"/>
      </w:pPr>
      <w:proofErr w:type="spellStart"/>
      <w:r w:rsidRPr="00A60EA5">
        <w:t>LCPF</w:t>
      </w:r>
      <w:proofErr w:type="spellEnd"/>
      <w:r w:rsidRPr="00A60EA5">
        <w:t xml:space="preserve"> has committed to 8 primary funds of funds (</w:t>
      </w:r>
      <w:proofErr w:type="spellStart"/>
      <w:r w:rsidRPr="00A60EA5">
        <w:t>FoF</w:t>
      </w:r>
      <w:proofErr w:type="spellEnd"/>
      <w:r w:rsidRPr="00A60EA5">
        <w:t xml:space="preserve">), covering USA, Asia and Europe; in buyouts and venture capital. The </w:t>
      </w:r>
      <w:proofErr w:type="spellStart"/>
      <w:r w:rsidRPr="00A60EA5">
        <w:t>FoF</w:t>
      </w:r>
      <w:proofErr w:type="spellEnd"/>
      <w:r w:rsidRPr="00A60EA5">
        <w:t xml:space="preserve"> manager then commits to </w:t>
      </w:r>
      <w:r>
        <w:t xml:space="preserve">around </w:t>
      </w:r>
      <w:r w:rsidRPr="00A60EA5">
        <w:t>15 primary PE funds. The advantage is greater dive</w:t>
      </w:r>
      <w:r>
        <w:t>rsification and also devolution</w:t>
      </w:r>
      <w:r w:rsidRPr="00A60EA5">
        <w:t xml:space="preserve"> of investment decisions to a third party. The main risks are an additional layer of fees (</w:t>
      </w:r>
      <w:r>
        <w:t xml:space="preserve">approximately </w:t>
      </w:r>
      <w:r w:rsidRPr="00A60EA5">
        <w:t>1%</w:t>
      </w:r>
      <w:r>
        <w:t xml:space="preserve"> p.a.</w:t>
      </w:r>
      <w:r w:rsidRPr="00A60EA5">
        <w:t xml:space="preserve"> mgt/ 0%-10% carry) in addition to primary manager fees.</w:t>
      </w:r>
    </w:p>
    <w:p w:rsidR="00981F54" w:rsidRPr="00A60EA5" w:rsidRDefault="00981F54" w:rsidP="00981F54">
      <w:pPr>
        <w:pStyle w:val="BodyText1"/>
        <w:spacing w:before="0" w:after="0"/>
      </w:pPr>
    </w:p>
    <w:p w:rsidR="00981F54" w:rsidRDefault="00981F54" w:rsidP="00981F54">
      <w:r>
        <w:t>Co-Investment Fund</w:t>
      </w:r>
    </w:p>
    <w:p w:rsidR="00981F54" w:rsidRPr="000F53EF" w:rsidRDefault="00981F54" w:rsidP="00981F54">
      <w:pPr>
        <w:pStyle w:val="BodyText1"/>
        <w:spacing w:before="0" w:after="0"/>
      </w:pPr>
      <w:proofErr w:type="spellStart"/>
      <w:r>
        <w:t>LCPF</w:t>
      </w:r>
      <w:proofErr w:type="spellEnd"/>
      <w:r>
        <w:t xml:space="preserve"> has committed to one co-investment fund, managed by Capital Dynamics. This invests in around 15 </w:t>
      </w:r>
      <w:r w:rsidRPr="00837B0C">
        <w:rPr>
          <w:u w:val="single"/>
        </w:rPr>
        <w:t>companies</w:t>
      </w:r>
      <w:r>
        <w:t xml:space="preserve">, alongside private equity managers. An attraction for </w:t>
      </w:r>
      <w:proofErr w:type="spellStart"/>
      <w:r>
        <w:t>LCPF</w:t>
      </w:r>
      <w:proofErr w:type="spellEnd"/>
      <w:r>
        <w:t xml:space="preserve"> is lower fees than a primary fund (approximately 1% p.a</w:t>
      </w:r>
      <w:proofErr w:type="gramStart"/>
      <w:r>
        <w:t>./</w:t>
      </w:r>
      <w:proofErr w:type="gramEnd"/>
      <w:r>
        <w:t xml:space="preserve"> 12.5% carry). Return potential appears broadly comparable to a primary fund. Risks include reduced access to the many investments that PE managers choose not to co-invest; and a risk of </w:t>
      </w:r>
      <w:r w:rsidRPr="000F53EF">
        <w:rPr>
          <w:u w:val="single"/>
        </w:rPr>
        <w:t>negative selection bias</w:t>
      </w:r>
      <w:r>
        <w:t xml:space="preserve"> (PE funds offering co-investments in companies that they perceive as less attractive)</w:t>
      </w:r>
    </w:p>
    <w:p w:rsidR="00981F54" w:rsidRDefault="00981F54" w:rsidP="00981F54"/>
    <w:p w:rsidR="00981F54" w:rsidRDefault="00981F54" w:rsidP="00981F54">
      <w:r>
        <w:t>Secondary Fund</w:t>
      </w:r>
    </w:p>
    <w:p w:rsidR="00981F54" w:rsidRDefault="00981F54" w:rsidP="00981F54">
      <w:pPr>
        <w:pStyle w:val="BodyText1"/>
        <w:spacing w:before="0" w:after="0"/>
      </w:pPr>
      <w:proofErr w:type="spellStart"/>
      <w:r>
        <w:t>LCPF</w:t>
      </w:r>
      <w:proofErr w:type="spellEnd"/>
      <w:r>
        <w:t xml:space="preserve"> has committed to one secondary fund, managed by Capital Dynamics. This invests in PE funds that are at least 50% already invested. Attractions of a secondary fund for </w:t>
      </w:r>
      <w:proofErr w:type="spellStart"/>
      <w:r>
        <w:t>LCPF</w:t>
      </w:r>
      <w:proofErr w:type="spellEnd"/>
      <w:r>
        <w:t xml:space="preserve"> include the greater certainty of the funds' final performance; diversification; secondary funds are often bought at a discount to </w:t>
      </w:r>
      <w:proofErr w:type="spellStart"/>
      <w:r>
        <w:t>NAV</w:t>
      </w:r>
      <w:proofErr w:type="spellEnd"/>
      <w:r>
        <w:t>; and avoidance of early years' annual management fees. The negatives are a double fee layer (approximately 2% p.a</w:t>
      </w:r>
      <w:proofErr w:type="gramStart"/>
      <w:r>
        <w:t>./</w:t>
      </w:r>
      <w:proofErr w:type="gramEnd"/>
      <w:r>
        <w:t xml:space="preserve"> 20% to the PE manager and 1% p.a./ 10% to the secondary manager). The net result is expected to be moderately lower risk and (sometimes) lower return when compared to primary fund investing, with an attractive risk-adjusted return.</w:t>
      </w:r>
    </w:p>
    <w:p w:rsidR="00981F54" w:rsidRDefault="00981F54" w:rsidP="00981F54">
      <w:pPr>
        <w:pStyle w:val="BodyText1"/>
        <w:spacing w:before="0" w:after="0"/>
      </w:pPr>
    </w:p>
    <w:p w:rsidR="00981F54" w:rsidRDefault="00981F54" w:rsidP="00981F54">
      <w:r>
        <w:t>Direct Investment</w:t>
      </w:r>
    </w:p>
    <w:p w:rsidR="00981F54" w:rsidRDefault="00981F54" w:rsidP="00981F54">
      <w:pPr>
        <w:pStyle w:val="BodyText1"/>
        <w:spacing w:before="0" w:after="0"/>
      </w:pPr>
      <w:proofErr w:type="spellStart"/>
      <w:r>
        <w:t>LCPF</w:t>
      </w:r>
      <w:proofErr w:type="spellEnd"/>
      <w:r>
        <w:t xml:space="preserve"> has invested in one company directly, Red Rose. This was originated by Capital Dynamics. Red Rose is lower risk quasi-infrastructure, without the gearing typical in PE.</w:t>
      </w:r>
    </w:p>
    <w:p w:rsidR="00981F54" w:rsidRDefault="00981F54" w:rsidP="00981F54">
      <w:pPr>
        <w:pStyle w:val="BodyText1"/>
        <w:spacing w:before="0" w:after="0"/>
      </w:pPr>
    </w:p>
    <w:p w:rsidR="00981F54" w:rsidRDefault="00981F54" w:rsidP="00981F54">
      <w:pPr>
        <w:pStyle w:val="BodyText1"/>
        <w:spacing w:before="0" w:after="0"/>
      </w:pPr>
      <w:r>
        <w:t>A summary of the typical industry fees paid for different fund types is below. Actual fund fees vary by provider and date (sometimes at half these official rates):</w:t>
      </w:r>
    </w:p>
    <w:p w:rsidR="00981F54" w:rsidRDefault="00981F54" w:rsidP="00981F54">
      <w:pPr>
        <w:pStyle w:val="BodyText1"/>
      </w:pPr>
    </w:p>
    <w:p w:rsidR="00981F54" w:rsidRDefault="00981F54" w:rsidP="00981F54">
      <w:pPr>
        <w:pStyle w:val="BodyText1"/>
      </w:pPr>
      <w:r w:rsidRPr="006168D0">
        <w:rPr>
          <w:noProof/>
          <w:lang w:eastAsia="en-GB"/>
        </w:rPr>
        <w:lastRenderedPageBreak/>
        <w:drawing>
          <wp:inline distT="0" distB="0" distL="0" distR="0">
            <wp:extent cx="5732145" cy="2152359"/>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2152359"/>
                    </a:xfrm>
                    <a:prstGeom prst="rect">
                      <a:avLst/>
                    </a:prstGeom>
                    <a:noFill/>
                    <a:ln>
                      <a:noFill/>
                    </a:ln>
                  </pic:spPr>
                </pic:pic>
              </a:graphicData>
            </a:graphic>
          </wp:inline>
        </w:drawing>
      </w:r>
    </w:p>
    <w:p w:rsidR="00981F54" w:rsidRDefault="00981F54" w:rsidP="00981F54">
      <w:pPr>
        <w:pStyle w:val="NJHSubHead1"/>
        <w:numPr>
          <w:ilvl w:val="1"/>
          <w:numId w:val="1"/>
        </w:numPr>
        <w:spacing w:after="0"/>
        <w:ind w:left="567" w:hanging="567"/>
      </w:pPr>
      <w:r w:rsidRPr="00870151">
        <w:t xml:space="preserve">The Nature of </w:t>
      </w:r>
      <w:proofErr w:type="spellStart"/>
      <w:r w:rsidRPr="00870151">
        <w:t>LCPF's</w:t>
      </w:r>
      <w:proofErr w:type="spellEnd"/>
      <w:r w:rsidRPr="00870151">
        <w:t xml:space="preserve"> Relationship with Capital Dynamics</w:t>
      </w:r>
    </w:p>
    <w:p w:rsidR="00981F54" w:rsidRDefault="00981F54" w:rsidP="00981F54">
      <w:pPr>
        <w:pStyle w:val="NJHSubHead1"/>
        <w:spacing w:after="0"/>
        <w:ind w:left="567"/>
      </w:pPr>
    </w:p>
    <w:p w:rsidR="00981F54" w:rsidRDefault="00981F54" w:rsidP="00981F54">
      <w:pPr>
        <w:pStyle w:val="BodyText1"/>
        <w:spacing w:before="0" w:after="0"/>
      </w:pPr>
      <w:proofErr w:type="spellStart"/>
      <w:r>
        <w:t>LCPF</w:t>
      </w:r>
      <w:proofErr w:type="spellEnd"/>
      <w:r>
        <w:t xml:space="preserve"> established a private equity business relationship with Crossroads Ltd in September 1998. The relationship was governed by a broadly worded contract that defined Crossroads similarly to a discretionary fund manager, setting strategy and managing daily operations.</w:t>
      </w:r>
    </w:p>
    <w:p w:rsidR="00981F54" w:rsidRDefault="00981F54" w:rsidP="00981F54">
      <w:pPr>
        <w:pStyle w:val="BodyText1"/>
        <w:spacing w:before="0" w:after="0"/>
      </w:pPr>
    </w:p>
    <w:p w:rsidR="00981F54" w:rsidRDefault="00981F54" w:rsidP="00981F54">
      <w:pPr>
        <w:pStyle w:val="BodyText1"/>
        <w:spacing w:before="0" w:after="0"/>
      </w:pPr>
      <w:r>
        <w:t>When Crossroads was acquired by Capital Dynamics, in 2004, the relationship was maintained, with the original contract not revised.</w:t>
      </w:r>
    </w:p>
    <w:p w:rsidR="00981F54" w:rsidRDefault="00981F54" w:rsidP="00981F54">
      <w:pPr>
        <w:pStyle w:val="BodyText1"/>
        <w:spacing w:before="0" w:after="0"/>
      </w:pPr>
    </w:p>
    <w:p w:rsidR="00981F54" w:rsidRDefault="00981F54" w:rsidP="00981F54">
      <w:pPr>
        <w:pStyle w:val="BodyText1"/>
        <w:spacing w:before="0" w:after="0"/>
      </w:pPr>
      <w:r>
        <w:t xml:space="preserve">In practice, Capital Dynamics recommends funds for </w:t>
      </w:r>
      <w:proofErr w:type="spellStart"/>
      <w:r>
        <w:t>LCPF</w:t>
      </w:r>
      <w:proofErr w:type="spellEnd"/>
      <w:r>
        <w:t xml:space="preserve"> to invest in, with </w:t>
      </w:r>
      <w:proofErr w:type="spellStart"/>
      <w:r>
        <w:t>LCPF</w:t>
      </w:r>
      <w:proofErr w:type="spellEnd"/>
      <w:r>
        <w:t xml:space="preserve"> investing in all funds recommended to date.</w:t>
      </w:r>
    </w:p>
    <w:p w:rsidR="00981F54" w:rsidRDefault="00981F54" w:rsidP="00981F54">
      <w:pPr>
        <w:pStyle w:val="BodyText1"/>
        <w:spacing w:before="0" w:after="0"/>
      </w:pPr>
    </w:p>
    <w:p w:rsidR="00981F54" w:rsidRDefault="00981F54" w:rsidP="00981F54">
      <w:pPr>
        <w:pStyle w:val="NJHSubHead1"/>
        <w:numPr>
          <w:ilvl w:val="1"/>
          <w:numId w:val="1"/>
        </w:numPr>
        <w:spacing w:after="0"/>
        <w:ind w:left="567" w:hanging="567"/>
      </w:pPr>
      <w:r w:rsidRPr="001121AA">
        <w:t>PE Portfolio Performance</w:t>
      </w:r>
    </w:p>
    <w:p w:rsidR="00981F54" w:rsidRPr="001121AA" w:rsidRDefault="00981F54" w:rsidP="00981F54">
      <w:pPr>
        <w:pStyle w:val="NJHSubHead1"/>
        <w:spacing w:after="0"/>
        <w:ind w:left="567"/>
      </w:pPr>
    </w:p>
    <w:p w:rsidR="00981F54" w:rsidRDefault="00981F54" w:rsidP="00981F54">
      <w:pPr>
        <w:pStyle w:val="BodyText1"/>
        <w:spacing w:before="0" w:after="0"/>
      </w:pPr>
      <w:r>
        <w:t xml:space="preserve">The benchmark used to evaluate the PE portfolio is FTSE All Share (Total Return). </w:t>
      </w:r>
    </w:p>
    <w:p w:rsidR="00981F54" w:rsidRDefault="00981F54" w:rsidP="00981F54">
      <w:pPr>
        <w:pStyle w:val="BodyText1"/>
      </w:pPr>
      <w:r>
        <w:t>In addition, an informal comparison is made to the British Venture Capital Association (</w:t>
      </w:r>
      <w:proofErr w:type="spellStart"/>
      <w:r>
        <w:t>BVCA</w:t>
      </w:r>
      <w:proofErr w:type="spellEnd"/>
      <w:r>
        <w:t>) PE benchmark top quartile fund average return.</w:t>
      </w:r>
    </w:p>
    <w:p w:rsidR="00981F54" w:rsidRDefault="00981F54" w:rsidP="00981F54">
      <w:pPr>
        <w:pStyle w:val="BodyText1"/>
      </w:pPr>
      <w:r>
        <w:t>S</w:t>
      </w:r>
      <w:r w:rsidRPr="00B60781">
        <w:t xml:space="preserve">ince inception the </w:t>
      </w:r>
      <w:r>
        <w:t xml:space="preserve">reported </w:t>
      </w:r>
      <w:r w:rsidRPr="00B60781">
        <w:t xml:space="preserve">PE portfolio net </w:t>
      </w:r>
      <w:proofErr w:type="spellStart"/>
      <w:r w:rsidRPr="00B60781">
        <w:t>IRR</w:t>
      </w:r>
      <w:proofErr w:type="spellEnd"/>
      <w:r w:rsidRPr="00B60781">
        <w:t xml:space="preserve"> is approximately 13%, which represents a 3% premium to the FTSE All Share. </w:t>
      </w:r>
      <w:r>
        <w:t xml:space="preserve">For comparison, this equates to an average return of </w:t>
      </w:r>
      <w:proofErr w:type="spellStart"/>
      <w:r>
        <w:t>1.5x</w:t>
      </w:r>
      <w:proofErr w:type="spellEnd"/>
      <w:r>
        <w:t xml:space="preserve"> capital invested (i.e. a 150% return achieved over a 10-13 year fund life).</w:t>
      </w:r>
    </w:p>
    <w:p w:rsidR="00981F54" w:rsidRPr="00C8740C" w:rsidRDefault="00981F54" w:rsidP="00981F54">
      <w:pPr>
        <w:pStyle w:val="BodyText1"/>
      </w:pPr>
      <w:r w:rsidRPr="00C8740C">
        <w:t>Asset Allocation and Risk Management</w:t>
      </w:r>
    </w:p>
    <w:p w:rsidR="00981F54" w:rsidRDefault="00981F54" w:rsidP="00981F54">
      <w:pPr>
        <w:pStyle w:val="BodyText1"/>
      </w:pPr>
      <w:r>
        <w:t xml:space="preserve">Since 1998, </w:t>
      </w:r>
      <w:proofErr w:type="spellStart"/>
      <w:r>
        <w:t>LCPF</w:t>
      </w:r>
      <w:proofErr w:type="spellEnd"/>
      <w:r>
        <w:t xml:space="preserve"> has committed to 54 funds through 18 managers. However, a small number of these managers are disproportionately large. 80% of capital was committed to half the managers; 35% to one (Capital Dynamics; though this includes funds of funds that are then invested in many fund managers). </w:t>
      </w:r>
    </w:p>
    <w:p w:rsidR="00981F54" w:rsidRDefault="00981F54" w:rsidP="00981F54">
      <w:pPr>
        <w:pStyle w:val="BodyText1"/>
      </w:pPr>
      <w:r>
        <w:t>In addition, capital was not committed in equal amounts every year. The largest committed in any year was £</w:t>
      </w:r>
      <w:proofErr w:type="spellStart"/>
      <w:r>
        <w:t>115m</w:t>
      </w:r>
      <w:proofErr w:type="spellEnd"/>
      <w:r>
        <w:t xml:space="preserve"> and the smallest £</w:t>
      </w:r>
      <w:proofErr w:type="spellStart"/>
      <w:r>
        <w:t>3m</w:t>
      </w:r>
      <w:proofErr w:type="spellEnd"/>
      <w:r>
        <w:t>. This might imply some manager specific risk and market timing risk.</w:t>
      </w:r>
    </w:p>
    <w:p w:rsidR="00981F54" w:rsidRDefault="00981F54" w:rsidP="00981F54"/>
    <w:p w:rsidR="00981F54" w:rsidRDefault="00981F54" w:rsidP="00981F54"/>
    <w:p w:rsidR="00981F54" w:rsidRDefault="00981F54" w:rsidP="00981F54"/>
    <w:p w:rsidR="00981F54" w:rsidRDefault="00981F54" w:rsidP="00981F54"/>
    <w:p w:rsidR="00981F54" w:rsidRDefault="00981F54" w:rsidP="00981F54"/>
    <w:p w:rsidR="00981F54" w:rsidRDefault="00981F54" w:rsidP="00981F54"/>
    <w:p w:rsidR="00981F54" w:rsidRDefault="00981F54" w:rsidP="00981F54"/>
    <w:p w:rsidR="00981F54" w:rsidRDefault="00981F54" w:rsidP="00981F54">
      <w:r>
        <w:lastRenderedPageBreak/>
        <w:t xml:space="preserve">Annual Commitments to Private Equity by </w:t>
      </w:r>
      <w:proofErr w:type="spellStart"/>
      <w:r>
        <w:t>LCPF</w:t>
      </w:r>
      <w:proofErr w:type="spellEnd"/>
      <w:r>
        <w:t xml:space="preserve"> (£m)</w:t>
      </w:r>
    </w:p>
    <w:p w:rsidR="00981F54" w:rsidRDefault="00981F54" w:rsidP="00981F54"/>
    <w:p w:rsidR="00981F54" w:rsidRDefault="00981F54" w:rsidP="00981F54">
      <w:r>
        <w:rPr>
          <w:noProof/>
        </w:rPr>
        <w:drawing>
          <wp:inline distT="0" distB="0" distL="0" distR="0">
            <wp:extent cx="5191125" cy="20193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1F54" w:rsidRDefault="00981F54" w:rsidP="00981F54"/>
    <w:p w:rsidR="00981F54" w:rsidRDefault="00981F54" w:rsidP="00981F54">
      <w:pPr>
        <w:pStyle w:val="NJHSubHead1"/>
        <w:numPr>
          <w:ilvl w:val="1"/>
          <w:numId w:val="1"/>
        </w:numPr>
        <w:ind w:left="567" w:hanging="567"/>
      </w:pPr>
      <w:r>
        <w:t>External Consultant's Opinion</w:t>
      </w:r>
    </w:p>
    <w:p w:rsidR="00981F54" w:rsidRDefault="00981F54" w:rsidP="00981F54">
      <w:pPr>
        <w:pStyle w:val="BodyText1"/>
      </w:pPr>
      <w:proofErr w:type="spellStart"/>
      <w:r>
        <w:t>LCPF</w:t>
      </w:r>
      <w:proofErr w:type="spellEnd"/>
      <w:r>
        <w:t xml:space="preserve"> commissioned a review of its portfolio at June 2011 by consultant </w:t>
      </w:r>
      <w:proofErr w:type="spellStart"/>
      <w:r>
        <w:t>BFinance</w:t>
      </w:r>
      <w:proofErr w:type="spellEnd"/>
      <w:r>
        <w:t>. Key conclusions included:</w:t>
      </w:r>
    </w:p>
    <w:p w:rsidR="00981F54" w:rsidRDefault="00981F54" w:rsidP="00981F54">
      <w:pPr>
        <w:pStyle w:val="ListParagraph"/>
        <w:numPr>
          <w:ilvl w:val="0"/>
          <w:numId w:val="5"/>
        </w:numPr>
        <w:spacing w:after="200"/>
      </w:pPr>
      <w:proofErr w:type="spellStart"/>
      <w:r>
        <w:t>LCPF</w:t>
      </w:r>
      <w:proofErr w:type="spellEnd"/>
      <w:r>
        <w:t xml:space="preserve"> is </w:t>
      </w:r>
      <w:proofErr w:type="spellStart"/>
      <w:r>
        <w:t>overdiversified</w:t>
      </w:r>
      <w:proofErr w:type="spellEnd"/>
      <w:r>
        <w:t>. 30 funds is sufficient;</w:t>
      </w:r>
    </w:p>
    <w:p w:rsidR="00981F54" w:rsidRDefault="00981F54" w:rsidP="00981F54">
      <w:pPr>
        <w:pStyle w:val="ListParagraph"/>
        <w:numPr>
          <w:ilvl w:val="0"/>
          <w:numId w:val="5"/>
        </w:numPr>
        <w:spacing w:after="200"/>
      </w:pPr>
      <w:r>
        <w:t xml:space="preserve">There is a large number of recent </w:t>
      </w:r>
      <w:proofErr w:type="gramStart"/>
      <w:r>
        <w:t>fund</w:t>
      </w:r>
      <w:proofErr w:type="gramEnd"/>
      <w:r>
        <w:t xml:space="preserve"> of funds, which leads to higher fees and a delay in return generation. This is regarded as unusual as investors often use </w:t>
      </w:r>
      <w:proofErr w:type="spellStart"/>
      <w:r>
        <w:t>FoFs</w:t>
      </w:r>
      <w:proofErr w:type="spellEnd"/>
      <w:r>
        <w:t xml:space="preserve"> as a first step before investing directly.  </w:t>
      </w:r>
      <w:proofErr w:type="spellStart"/>
      <w:r>
        <w:t>LCPF</w:t>
      </w:r>
      <w:proofErr w:type="spellEnd"/>
      <w:r>
        <w:t xml:space="preserve"> has 'regressed' in the opposite direction;</w:t>
      </w:r>
    </w:p>
    <w:p w:rsidR="00981F54" w:rsidRDefault="00981F54" w:rsidP="00981F54">
      <w:pPr>
        <w:pStyle w:val="ListParagraph"/>
        <w:numPr>
          <w:ilvl w:val="0"/>
          <w:numId w:val="5"/>
        </w:numPr>
        <w:spacing w:after="200"/>
      </w:pPr>
      <w:r>
        <w:t>Reliance on a few well known brand name PE managers, possibly missing out on less well known names;</w:t>
      </w:r>
    </w:p>
    <w:p w:rsidR="00981F54" w:rsidRDefault="00981F54" w:rsidP="00981F54">
      <w:pPr>
        <w:pStyle w:val="ListParagraph"/>
        <w:numPr>
          <w:ilvl w:val="0"/>
          <w:numId w:val="5"/>
        </w:numPr>
        <w:spacing w:after="200"/>
      </w:pPr>
      <w:r>
        <w:t>A focus on European buyouts, possibly missing opportunities elsewhere;</w:t>
      </w:r>
    </w:p>
    <w:p w:rsidR="00981F54" w:rsidRDefault="00981F54" w:rsidP="00981F54">
      <w:pPr>
        <w:pStyle w:val="ListParagraph"/>
        <w:numPr>
          <w:ilvl w:val="0"/>
          <w:numId w:val="5"/>
        </w:numPr>
        <w:spacing w:after="200"/>
      </w:pPr>
      <w:r>
        <w:t>More resources should be used to find better funds and negotiate better terms;</w:t>
      </w:r>
    </w:p>
    <w:p w:rsidR="00981F54" w:rsidRDefault="00981F54" w:rsidP="00981F54">
      <w:pPr>
        <w:pStyle w:val="ListParagraph"/>
        <w:numPr>
          <w:ilvl w:val="0"/>
          <w:numId w:val="5"/>
        </w:numPr>
        <w:spacing w:after="200"/>
      </w:pPr>
      <w:proofErr w:type="spellStart"/>
      <w:r>
        <w:t>LCPF</w:t>
      </w:r>
      <w:proofErr w:type="spellEnd"/>
      <w:r>
        <w:t xml:space="preserve"> could find ways to lower fees, such as through direct co-investments. </w:t>
      </w:r>
    </w:p>
    <w:p w:rsidR="00981F54" w:rsidRDefault="00981F54" w:rsidP="00981F54">
      <w:pPr>
        <w:pStyle w:val="ListParagraph"/>
        <w:spacing w:after="200"/>
      </w:pPr>
    </w:p>
    <w:p w:rsidR="00981F54" w:rsidRPr="00BE3C88" w:rsidRDefault="00981F54" w:rsidP="00981F54">
      <w:pPr>
        <w:pStyle w:val="ListParagraph"/>
        <w:numPr>
          <w:ilvl w:val="0"/>
          <w:numId w:val="1"/>
        </w:numPr>
        <w:spacing w:after="200"/>
        <w:ind w:left="357" w:hanging="357"/>
        <w:rPr>
          <w:b/>
        </w:rPr>
      </w:pPr>
      <w:r w:rsidRPr="00BE3C88">
        <w:rPr>
          <w:b/>
        </w:rPr>
        <w:t>Future Private Equity Strategy</w:t>
      </w:r>
    </w:p>
    <w:p w:rsidR="00981F54" w:rsidRPr="00402EC4" w:rsidRDefault="00981F54" w:rsidP="00981F54">
      <w:pPr>
        <w:pStyle w:val="NJHSubHead1"/>
        <w:numPr>
          <w:ilvl w:val="1"/>
          <w:numId w:val="1"/>
        </w:numPr>
        <w:ind w:left="567" w:hanging="567"/>
      </w:pPr>
      <w:r w:rsidRPr="00402EC4">
        <w:t>Target PE fund Size</w:t>
      </w:r>
    </w:p>
    <w:p w:rsidR="00981F54" w:rsidRDefault="00981F54" w:rsidP="00981F54">
      <w:r w:rsidRPr="00402EC4">
        <w:rPr>
          <w:noProof/>
        </w:rPr>
        <w:drawing>
          <wp:inline distT="0" distB="0" distL="0" distR="0">
            <wp:extent cx="29908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09550"/>
                    </a:xfrm>
                    <a:prstGeom prst="rect">
                      <a:avLst/>
                    </a:prstGeom>
                    <a:noFill/>
                    <a:ln>
                      <a:noFill/>
                    </a:ln>
                  </pic:spPr>
                </pic:pic>
              </a:graphicData>
            </a:graphic>
          </wp:inline>
        </w:drawing>
      </w:r>
    </w:p>
    <w:p w:rsidR="00981F54" w:rsidRDefault="00981F54" w:rsidP="00981F54"/>
    <w:p w:rsidR="00981F54" w:rsidRDefault="00981F54" w:rsidP="00981F54">
      <w:pPr>
        <w:pStyle w:val="BodyText1"/>
      </w:pPr>
      <w:r w:rsidRPr="00CC11C6">
        <w:t xml:space="preserve">It is recommended that </w:t>
      </w:r>
      <w:proofErr w:type="spellStart"/>
      <w:r w:rsidRPr="00CC11C6">
        <w:t>LCPF</w:t>
      </w:r>
      <w:proofErr w:type="spellEnd"/>
      <w:r>
        <w:t xml:space="preserve"> targets a private equity portfolio </w:t>
      </w:r>
      <w:proofErr w:type="spellStart"/>
      <w:r>
        <w:t>NAV</w:t>
      </w:r>
      <w:proofErr w:type="spellEnd"/>
      <w:r>
        <w:t xml:space="preserve"> equal to 7.5% of the pension fund, up from 5%. Long term PE investing is well suited to a long term pension fund that can accept the illiquidity.</w:t>
      </w:r>
    </w:p>
    <w:p w:rsidR="00981F54" w:rsidRDefault="00981F54" w:rsidP="00981F54">
      <w:pPr>
        <w:pStyle w:val="BodyText1"/>
      </w:pPr>
      <w:r w:rsidRPr="00477B53">
        <w:t xml:space="preserve">Due to time delays between capital being committed (by </w:t>
      </w:r>
      <w:proofErr w:type="spellStart"/>
      <w:r w:rsidRPr="00477B53">
        <w:t>LCPF</w:t>
      </w:r>
      <w:proofErr w:type="spellEnd"/>
      <w:r w:rsidRPr="00477B53">
        <w:t xml:space="preserve">) and invested (by the PE manager) of up to 5 years, commitments have to be around </w:t>
      </w:r>
      <w:proofErr w:type="spellStart"/>
      <w:r w:rsidRPr="00477B53">
        <w:t>2x</w:t>
      </w:r>
      <w:proofErr w:type="spellEnd"/>
      <w:r w:rsidRPr="00477B53">
        <w:t xml:space="preserve"> to </w:t>
      </w:r>
      <w:proofErr w:type="spellStart"/>
      <w:r w:rsidRPr="00477B53">
        <w:t>2.5x</w:t>
      </w:r>
      <w:proofErr w:type="spellEnd"/>
      <w:r w:rsidRPr="00477B53">
        <w:t xml:space="preserve"> the target NAV. There is a risk that commitments will be drawn by PE managers faster than </w:t>
      </w:r>
      <w:proofErr w:type="gramStart"/>
      <w:r w:rsidRPr="00477B53">
        <w:t>forecast,</w:t>
      </w:r>
      <w:proofErr w:type="gramEnd"/>
      <w:r w:rsidRPr="00477B53">
        <w:t xml:space="preserve"> or current investments will be exited slower than forecast. In both situations, cash flow will be negative and the fund </w:t>
      </w:r>
      <w:proofErr w:type="spellStart"/>
      <w:r w:rsidRPr="00477B53">
        <w:t>NAV</w:t>
      </w:r>
      <w:proofErr w:type="spellEnd"/>
      <w:r w:rsidRPr="00477B53">
        <w:t xml:space="preserve"> will rise more than forecast.</w:t>
      </w:r>
    </w:p>
    <w:p w:rsidR="00981F54" w:rsidRDefault="00981F54" w:rsidP="00981F54">
      <w:pPr>
        <w:pStyle w:val="BodyText1"/>
        <w:spacing w:before="0" w:after="0"/>
      </w:pPr>
      <w:r>
        <w:t>Capital Dynamics has suggested annual commitments of between £100-</w:t>
      </w:r>
      <w:proofErr w:type="spellStart"/>
      <w:r>
        <w:t>120m</w:t>
      </w:r>
      <w:proofErr w:type="spellEnd"/>
      <w:r>
        <w:t xml:space="preserve"> p.a., of which around two-thirds will sustain the historic 5% commitment and a further </w:t>
      </w:r>
      <w:proofErr w:type="gramStart"/>
      <w:r>
        <w:t>third  to</w:t>
      </w:r>
      <w:proofErr w:type="gramEnd"/>
      <w:r>
        <w:t xml:space="preserve"> grow this to 7.5% of the Pension Fund.</w:t>
      </w:r>
    </w:p>
    <w:p w:rsidR="00981F54" w:rsidRDefault="00981F54" w:rsidP="00981F54">
      <w:pPr>
        <w:pStyle w:val="NJHSubHead1"/>
        <w:spacing w:after="0"/>
        <w:ind w:left="567"/>
      </w:pPr>
    </w:p>
    <w:p w:rsidR="00981F54" w:rsidRDefault="00981F54" w:rsidP="00981F54">
      <w:pPr>
        <w:pStyle w:val="NJHSubHead1"/>
        <w:spacing w:after="0"/>
        <w:ind w:left="567"/>
      </w:pPr>
    </w:p>
    <w:p w:rsidR="00981F54" w:rsidRDefault="00981F54" w:rsidP="00981F54">
      <w:pPr>
        <w:pStyle w:val="NJHSubHead1"/>
        <w:spacing w:after="0"/>
        <w:ind w:left="567"/>
      </w:pPr>
    </w:p>
    <w:p w:rsidR="00981F54" w:rsidRDefault="00981F54" w:rsidP="00981F54">
      <w:pPr>
        <w:pStyle w:val="NJHSubHead1"/>
        <w:numPr>
          <w:ilvl w:val="1"/>
          <w:numId w:val="1"/>
        </w:numPr>
        <w:spacing w:after="0"/>
        <w:ind w:left="567" w:hanging="567"/>
      </w:pPr>
      <w:r w:rsidRPr="00541248">
        <w:t>Target Return</w:t>
      </w:r>
    </w:p>
    <w:p w:rsidR="00981F54" w:rsidRDefault="00981F54" w:rsidP="00981F54">
      <w:pPr>
        <w:pStyle w:val="BodyText1"/>
      </w:pPr>
      <w:proofErr w:type="spellStart"/>
      <w:r>
        <w:lastRenderedPageBreak/>
        <w:t>LCPF</w:t>
      </w:r>
      <w:proofErr w:type="spellEnd"/>
      <w:r>
        <w:t xml:space="preserve"> expects a private equity return in excess of the U.K. stock market, as compensation for the greater illiquidity and potential volatility.</w:t>
      </w:r>
    </w:p>
    <w:p w:rsidR="00981F54" w:rsidRDefault="00981F54" w:rsidP="00981F54">
      <w:pPr>
        <w:pStyle w:val="ListParagraph"/>
        <w:numPr>
          <w:ilvl w:val="0"/>
          <w:numId w:val="2"/>
        </w:numPr>
        <w:spacing w:after="200"/>
      </w:pPr>
      <w:r>
        <w:t xml:space="preserve">Formally target annualised return ('Net </w:t>
      </w:r>
      <w:proofErr w:type="spellStart"/>
      <w:r>
        <w:t>IRR</w:t>
      </w:r>
      <w:proofErr w:type="spellEnd"/>
      <w:r>
        <w:t>') of FTSE All Share + 3%</w:t>
      </w:r>
    </w:p>
    <w:p w:rsidR="00981F54" w:rsidRDefault="00981F54" w:rsidP="00981F54">
      <w:pPr>
        <w:pStyle w:val="ListParagraph"/>
        <w:numPr>
          <w:ilvl w:val="1"/>
          <w:numId w:val="2"/>
        </w:numPr>
        <w:spacing w:after="200"/>
      </w:pPr>
      <w:r>
        <w:t xml:space="preserve">3% is a </w:t>
      </w:r>
      <w:r w:rsidRPr="00CB4A6D">
        <w:rPr>
          <w:u w:val="single"/>
        </w:rPr>
        <w:t>minimum</w:t>
      </w:r>
      <w:r>
        <w:t xml:space="preserve"> risk premium, with 6%-8% an achievable 'stretch' target;</w:t>
      </w:r>
    </w:p>
    <w:p w:rsidR="00981F54" w:rsidRDefault="00981F54" w:rsidP="00981F54">
      <w:pPr>
        <w:pStyle w:val="ListParagraph"/>
        <w:numPr>
          <w:ilvl w:val="1"/>
          <w:numId w:val="2"/>
        </w:numPr>
        <w:spacing w:after="200"/>
      </w:pPr>
      <w:r>
        <w:t xml:space="preserve">This is expected to equate to a net </w:t>
      </w:r>
      <w:proofErr w:type="spellStart"/>
      <w:r>
        <w:t>IRR</w:t>
      </w:r>
      <w:proofErr w:type="spellEnd"/>
      <w:r>
        <w:t xml:space="preserve"> of 10% to 15%;</w:t>
      </w:r>
    </w:p>
    <w:p w:rsidR="00981F54" w:rsidRDefault="00981F54" w:rsidP="00981F54">
      <w:pPr>
        <w:pStyle w:val="ListParagraph"/>
        <w:numPr>
          <w:ilvl w:val="1"/>
          <w:numId w:val="2"/>
        </w:numPr>
        <w:spacing w:after="200"/>
      </w:pPr>
      <w:r>
        <w:t xml:space="preserve">A PE fund is considered successful if it is rated in the </w:t>
      </w:r>
      <w:r w:rsidRPr="00CB4A6D">
        <w:rPr>
          <w:u w:val="single"/>
        </w:rPr>
        <w:t>top quartile</w:t>
      </w:r>
      <w:r>
        <w:t xml:space="preserve"> of funds with a similar vintage and strategy;</w:t>
      </w:r>
    </w:p>
    <w:p w:rsidR="00981F54" w:rsidRDefault="00981F54" w:rsidP="00981F54">
      <w:pPr>
        <w:pStyle w:val="ListParagraph"/>
        <w:numPr>
          <w:ilvl w:val="1"/>
          <w:numId w:val="2"/>
        </w:numPr>
        <w:spacing w:after="200"/>
      </w:pPr>
      <w:r>
        <w:t>Use alternative fund benchmarks, as appropriate, for funds that can be shown to warrant this.</w:t>
      </w:r>
    </w:p>
    <w:p w:rsidR="00981F54" w:rsidRPr="00012BD7" w:rsidRDefault="00981F54" w:rsidP="00981F54">
      <w:pPr>
        <w:pStyle w:val="NJHSubHead1"/>
        <w:numPr>
          <w:ilvl w:val="1"/>
          <w:numId w:val="1"/>
        </w:numPr>
        <w:ind w:left="567" w:hanging="567"/>
      </w:pPr>
      <w:r w:rsidRPr="00012BD7">
        <w:t>Risk Management</w:t>
      </w:r>
    </w:p>
    <w:p w:rsidR="00981F54" w:rsidRDefault="00981F54" w:rsidP="00981F54">
      <w:r>
        <w:t>Key risk drivers have been identified in the table below. These were considered in setting the Strategy Limits.</w:t>
      </w:r>
    </w:p>
    <w:p w:rsidR="00981F54" w:rsidRDefault="00981F54" w:rsidP="00981F54"/>
    <w:p w:rsidR="00981F54" w:rsidRDefault="00981F54" w:rsidP="00981F54">
      <w:r w:rsidRPr="009E54CC">
        <w:rPr>
          <w:noProof/>
        </w:rPr>
        <w:drawing>
          <wp:inline distT="0" distB="0" distL="0" distR="0">
            <wp:extent cx="5596480" cy="317182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8000" cy="3172686"/>
                    </a:xfrm>
                    <a:prstGeom prst="rect">
                      <a:avLst/>
                    </a:prstGeom>
                    <a:noFill/>
                    <a:ln>
                      <a:noFill/>
                    </a:ln>
                  </pic:spPr>
                </pic:pic>
              </a:graphicData>
            </a:graphic>
          </wp:inline>
        </w:drawing>
      </w:r>
    </w:p>
    <w:p w:rsidR="00981F54" w:rsidRDefault="00981F54" w:rsidP="00981F54"/>
    <w:p w:rsidR="00981F54" w:rsidRDefault="00981F54" w:rsidP="00981F54">
      <w:pPr>
        <w:pStyle w:val="NJHSubHead1"/>
        <w:numPr>
          <w:ilvl w:val="1"/>
          <w:numId w:val="1"/>
        </w:numPr>
        <w:ind w:left="567" w:hanging="567"/>
      </w:pPr>
      <w:r>
        <w:t>PE Strategy Limits</w:t>
      </w:r>
    </w:p>
    <w:p w:rsidR="00981F54" w:rsidRDefault="00981F54" w:rsidP="00981F54">
      <w:r>
        <w:t>We set strategy limits</w:t>
      </w:r>
      <w:r w:rsidRPr="00547391">
        <w:t xml:space="preserve"> </w:t>
      </w:r>
      <w:r>
        <w:t xml:space="preserve">that reflect the market and also give </w:t>
      </w:r>
      <w:proofErr w:type="spellStart"/>
      <w:r>
        <w:t>LCPF</w:t>
      </w:r>
      <w:proofErr w:type="spellEnd"/>
      <w:r>
        <w:t xml:space="preserve"> the opportunity to be over/ under weight the market (see table, below). In addition to formal limits, informal guidance is given, to aid risk management.</w:t>
      </w: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BodyText1"/>
      </w:pPr>
    </w:p>
    <w:p w:rsidR="00981F54" w:rsidRDefault="00981F54" w:rsidP="00981F54">
      <w:pPr>
        <w:pStyle w:val="ListParagraph"/>
        <w:numPr>
          <w:ilvl w:val="0"/>
          <w:numId w:val="4"/>
        </w:numPr>
        <w:spacing w:after="200"/>
      </w:pPr>
      <w:r>
        <w:t>PE Strategy Limits (by Fund Type and Geography)</w:t>
      </w:r>
    </w:p>
    <w:p w:rsidR="00981F54" w:rsidRDefault="00981F54" w:rsidP="00981F54">
      <w:r w:rsidRPr="00C65736">
        <w:rPr>
          <w:noProof/>
        </w:rPr>
        <w:drawing>
          <wp:inline distT="0" distB="0" distL="0" distR="0">
            <wp:extent cx="5755640" cy="3231236"/>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640" cy="3231236"/>
                    </a:xfrm>
                    <a:prstGeom prst="rect">
                      <a:avLst/>
                    </a:prstGeom>
                    <a:noFill/>
                    <a:ln>
                      <a:noFill/>
                    </a:ln>
                  </pic:spPr>
                </pic:pic>
              </a:graphicData>
            </a:graphic>
          </wp:inline>
        </w:drawing>
      </w:r>
    </w:p>
    <w:p w:rsidR="00981F54" w:rsidRDefault="00981F54" w:rsidP="00981F54">
      <w:pPr>
        <w:pStyle w:val="BodyText1"/>
      </w:pPr>
      <w:r>
        <w:lastRenderedPageBreak/>
        <w:t xml:space="preserve">Primarily, the best and most consistent returns have been in developed market buyouts. There are periods when this has not been the case and the allocation limits enable the </w:t>
      </w:r>
      <w:proofErr w:type="spellStart"/>
      <w:r>
        <w:t>LCPF</w:t>
      </w:r>
      <w:proofErr w:type="spellEnd"/>
      <w:r>
        <w:t xml:space="preserve"> to adapt to market changes.</w:t>
      </w:r>
    </w:p>
    <w:p w:rsidR="00981F54" w:rsidRDefault="00981F54" w:rsidP="00981F54">
      <w:pPr>
        <w:pStyle w:val="BodyText1"/>
      </w:pPr>
      <w:r>
        <w:t>The central expectation is to commit the vast majority of capital between Europe and North America, with a bias to buyouts.</w:t>
      </w:r>
    </w:p>
    <w:p w:rsidR="00981F54" w:rsidRPr="005B06F1" w:rsidRDefault="00981F54" w:rsidP="00981F54">
      <w:pPr>
        <w:rPr>
          <w:u w:val="single"/>
        </w:rPr>
      </w:pPr>
      <w:r w:rsidRPr="005B06F1">
        <w:rPr>
          <w:u w:val="single"/>
        </w:rPr>
        <w:t>Supporting Guidance on P</w:t>
      </w:r>
      <w:r>
        <w:rPr>
          <w:u w:val="single"/>
        </w:rPr>
        <w:t xml:space="preserve">rivate </w:t>
      </w:r>
      <w:r w:rsidRPr="005B06F1">
        <w:rPr>
          <w:u w:val="single"/>
        </w:rPr>
        <w:t>E</w:t>
      </w:r>
      <w:r>
        <w:rPr>
          <w:u w:val="single"/>
        </w:rPr>
        <w:t>quity</w:t>
      </w:r>
      <w:r w:rsidRPr="005B06F1">
        <w:rPr>
          <w:u w:val="single"/>
        </w:rPr>
        <w:t xml:space="preserve"> </w:t>
      </w:r>
      <w:r>
        <w:rPr>
          <w:u w:val="single"/>
        </w:rPr>
        <w:t>Strategy Limits</w:t>
      </w:r>
    </w:p>
    <w:p w:rsidR="00981F54" w:rsidRDefault="00981F54" w:rsidP="00981F54">
      <w:pPr>
        <w:pStyle w:val="ListParagraph"/>
        <w:numPr>
          <w:ilvl w:val="0"/>
          <w:numId w:val="2"/>
        </w:numPr>
        <w:spacing w:after="200"/>
      </w:pPr>
      <w:r>
        <w:t>Venture capital is expected to be not more than 10% of the PE fund</w:t>
      </w:r>
    </w:p>
    <w:p w:rsidR="00981F54" w:rsidRDefault="00981F54" w:rsidP="00981F54">
      <w:pPr>
        <w:pStyle w:val="ListParagraph"/>
        <w:numPr>
          <w:ilvl w:val="1"/>
          <w:numId w:val="2"/>
        </w:numPr>
        <w:spacing w:after="200"/>
      </w:pPr>
      <w:r>
        <w:t>Average returns are mostly poor and volatile, but there are periods of strong performance, as well as individually strong managers.</w:t>
      </w:r>
    </w:p>
    <w:p w:rsidR="00981F54" w:rsidRDefault="00981F54" w:rsidP="00981F54">
      <w:pPr>
        <w:pStyle w:val="ListParagraph"/>
        <w:numPr>
          <w:ilvl w:val="0"/>
          <w:numId w:val="2"/>
        </w:numPr>
        <w:spacing w:after="200"/>
      </w:pPr>
      <w:r>
        <w:t>Emerging market funds are expected to be not more than 10% of the PE fund</w:t>
      </w:r>
    </w:p>
    <w:p w:rsidR="00981F54" w:rsidRDefault="00981F54" w:rsidP="00981F54">
      <w:pPr>
        <w:pStyle w:val="ListParagraph"/>
        <w:numPr>
          <w:ilvl w:val="1"/>
          <w:numId w:val="2"/>
        </w:numPr>
        <w:spacing w:after="200"/>
      </w:pPr>
      <w:r>
        <w:t>Emerging market returns in this area have not been sufficient to warrant the risks, though this may change.</w:t>
      </w:r>
    </w:p>
    <w:p w:rsidR="00981F54" w:rsidRDefault="00981F54" w:rsidP="00981F54">
      <w:pPr>
        <w:pStyle w:val="ListParagraph"/>
        <w:spacing w:after="200"/>
        <w:ind w:left="1080"/>
      </w:pPr>
    </w:p>
    <w:p w:rsidR="00981F54" w:rsidRDefault="00981F54" w:rsidP="00981F54">
      <w:pPr>
        <w:pStyle w:val="ListParagraph"/>
        <w:numPr>
          <w:ilvl w:val="0"/>
          <w:numId w:val="4"/>
        </w:numPr>
        <w:spacing w:after="200"/>
      </w:pPr>
      <w:r>
        <w:t>Concentration Limits (by Fund Structure)</w:t>
      </w:r>
    </w:p>
    <w:p w:rsidR="00981F54" w:rsidRDefault="00981F54" w:rsidP="00981F54">
      <w:pPr>
        <w:pStyle w:val="BodyText1"/>
      </w:pPr>
      <w:r>
        <w:t xml:space="preserve">Limits on the concentration by fund structure are proposed (see table, below), with the aim of ensuring a minimum level of diversification, but discouraging over diversification. These limits reflect the different risk profiles of the different forms of investment and are set in two dimensions, the first in relation to limits on the new commitment that can be made each year (thus the maximum that could be committed to new primary funds in a year is 25% of the total new commitments). The second dimension is limits within the total PE portfolio where for example no more than 50% of the total portfolio should be in secondary funds. </w:t>
      </w:r>
    </w:p>
    <w:p w:rsidR="00981F54" w:rsidRDefault="00981F54" w:rsidP="00981F54">
      <w:r>
        <w:t>Concentration Limits by PE Fund Structure</w:t>
      </w:r>
    </w:p>
    <w:p w:rsidR="00981F54" w:rsidRDefault="00981F54" w:rsidP="00981F54"/>
    <w:p w:rsidR="00981F54" w:rsidRDefault="00981F54" w:rsidP="00981F54">
      <w:r w:rsidRPr="00EF14F2">
        <w:rPr>
          <w:noProof/>
        </w:rPr>
        <w:drawing>
          <wp:inline distT="0" distB="0" distL="0" distR="0">
            <wp:extent cx="5724525" cy="2847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2847975"/>
                    </a:xfrm>
                    <a:prstGeom prst="rect">
                      <a:avLst/>
                    </a:prstGeom>
                    <a:noFill/>
                    <a:ln>
                      <a:noFill/>
                    </a:ln>
                  </pic:spPr>
                </pic:pic>
              </a:graphicData>
            </a:graphic>
          </wp:inline>
        </w:drawing>
      </w:r>
    </w:p>
    <w:p w:rsidR="00981F54" w:rsidRDefault="00981F54" w:rsidP="00981F54">
      <w:pPr>
        <w:pStyle w:val="BodyText1"/>
      </w:pPr>
    </w:p>
    <w:p w:rsidR="00981F54" w:rsidRDefault="00981F54" w:rsidP="00981F54">
      <w:pPr>
        <w:pStyle w:val="BodyText1"/>
      </w:pPr>
      <w:r>
        <w:t xml:space="preserve">The central expectation is to commit to 4-6 funds per year, mostly primary, allowing for larger commitments to more diversified funds of funds. </w:t>
      </w:r>
      <w:r w:rsidRPr="008440FA">
        <w:rPr>
          <w:u w:val="single"/>
        </w:rPr>
        <w:t>In addition</w:t>
      </w:r>
      <w:r>
        <w:t xml:space="preserve"> to initial commitments to funds, </w:t>
      </w:r>
      <w:r w:rsidRPr="00CA28ED">
        <w:rPr>
          <w:u w:val="single"/>
        </w:rPr>
        <w:t>direct</w:t>
      </w:r>
      <w:r>
        <w:t xml:space="preserve"> co-investments are allowed in individual companies that are held by </w:t>
      </w:r>
      <w:proofErr w:type="spellStart"/>
      <w:r>
        <w:t>LCPF's</w:t>
      </w:r>
      <w:proofErr w:type="spellEnd"/>
      <w:r>
        <w:t xml:space="preserve"> funds.</w:t>
      </w:r>
    </w:p>
    <w:p w:rsidR="00981F54" w:rsidRDefault="00981F54" w:rsidP="00981F54"/>
    <w:p w:rsidR="00981F54" w:rsidRPr="00BE3C88" w:rsidRDefault="00981F54" w:rsidP="00981F54">
      <w:pPr>
        <w:pStyle w:val="ListParagraph"/>
        <w:numPr>
          <w:ilvl w:val="0"/>
          <w:numId w:val="1"/>
        </w:numPr>
        <w:ind w:left="357" w:hanging="357"/>
        <w:rPr>
          <w:b/>
        </w:rPr>
      </w:pPr>
      <w:r w:rsidRPr="00BE3C88">
        <w:rPr>
          <w:b/>
        </w:rPr>
        <w:t>Transition from Current Private Equity Portfolio to Future Portfolio</w:t>
      </w:r>
    </w:p>
    <w:p w:rsidR="00981F54" w:rsidRDefault="00981F54" w:rsidP="00981F54">
      <w:pPr>
        <w:pStyle w:val="BodyText1"/>
        <w:spacing w:after="0"/>
      </w:pPr>
    </w:p>
    <w:p w:rsidR="00981F54" w:rsidRDefault="00981F54" w:rsidP="00981F54">
      <w:pPr>
        <w:pStyle w:val="BodyText1"/>
        <w:spacing w:after="0"/>
      </w:pPr>
      <w:r>
        <w:t>The transition to the new strategy will take place gradually by investing future commitments in line with the proposed new strategy.</w:t>
      </w:r>
    </w:p>
    <w:p w:rsidR="00981F54" w:rsidRDefault="00981F54" w:rsidP="00981F54">
      <w:pPr>
        <w:pStyle w:val="BodyText1"/>
      </w:pPr>
      <w:r>
        <w:t xml:space="preserve">It is not intended to make a single bulk commitment to increase PE exposure from 5% of pension fund </w:t>
      </w:r>
      <w:proofErr w:type="spellStart"/>
      <w:r>
        <w:t>NAV</w:t>
      </w:r>
      <w:proofErr w:type="spellEnd"/>
      <w:r>
        <w:t xml:space="preserve"> to 7.5% but instead increase annual commitments to achieve an equal exposure to all future vintages. </w:t>
      </w:r>
    </w:p>
    <w:p w:rsidR="00981F54" w:rsidRDefault="00981F54" w:rsidP="00981F54">
      <w:pPr>
        <w:pStyle w:val="BodyText1"/>
      </w:pPr>
      <w:r>
        <w:t xml:space="preserve">We may support this by purchasing funds in the secondary market to gain greater exposure to past vintages ('back filling'). This enables a faster move from 5% </w:t>
      </w:r>
      <w:proofErr w:type="spellStart"/>
      <w:r>
        <w:t>NAV</w:t>
      </w:r>
      <w:proofErr w:type="spellEnd"/>
      <w:r>
        <w:t xml:space="preserve"> to 7.5%. This will depend upon both the price and performance of the relevant funds.</w:t>
      </w:r>
    </w:p>
    <w:p w:rsidR="00981F54" w:rsidRDefault="00981F54" w:rsidP="00981F54">
      <w:pPr>
        <w:pStyle w:val="BodyText1"/>
      </w:pPr>
      <w:r>
        <w:t xml:space="preserve">Commitments will be made with the aim of improving returns or lowering costs. </w:t>
      </w:r>
      <w:r w:rsidRPr="00A6106F">
        <w:t>This may include</w:t>
      </w:r>
      <w:r>
        <w:t>:</w:t>
      </w:r>
    </w:p>
    <w:p w:rsidR="00981F54" w:rsidRDefault="00981F54" w:rsidP="00981F54">
      <w:pPr>
        <w:pStyle w:val="ListParagraph"/>
        <w:numPr>
          <w:ilvl w:val="0"/>
          <w:numId w:val="3"/>
        </w:numPr>
        <w:spacing w:after="200"/>
      </w:pPr>
      <w:r>
        <w:t>Avoid primary funds of funds and instead commit directly</w:t>
      </w:r>
    </w:p>
    <w:p w:rsidR="00981F54" w:rsidRDefault="00981F54" w:rsidP="00981F54">
      <w:pPr>
        <w:pStyle w:val="ListParagraph"/>
        <w:numPr>
          <w:ilvl w:val="1"/>
          <w:numId w:val="3"/>
        </w:numPr>
        <w:spacing w:after="200"/>
      </w:pPr>
      <w:r>
        <w:t>This confirms the way most capital is already invested;</w:t>
      </w:r>
    </w:p>
    <w:p w:rsidR="00981F54" w:rsidRDefault="00981F54" w:rsidP="00981F54">
      <w:pPr>
        <w:pStyle w:val="ListParagraph"/>
        <w:numPr>
          <w:ilvl w:val="1"/>
          <w:numId w:val="3"/>
        </w:numPr>
        <w:spacing w:after="200"/>
      </w:pPr>
      <w:r>
        <w:t xml:space="preserve">A fund of fund might be acceptable as a way to gain access to a fund manager's research, or in a niche that </w:t>
      </w:r>
      <w:proofErr w:type="spellStart"/>
      <w:r>
        <w:t>LCPF</w:t>
      </w:r>
      <w:proofErr w:type="spellEnd"/>
      <w:r>
        <w:t xml:space="preserve"> </w:t>
      </w:r>
      <w:proofErr w:type="spellStart"/>
      <w:r>
        <w:t>can not</w:t>
      </w:r>
      <w:proofErr w:type="spellEnd"/>
      <w:r>
        <w:t xml:space="preserve"> easily access through direct primary funds;</w:t>
      </w:r>
    </w:p>
    <w:p w:rsidR="00981F54" w:rsidRDefault="00981F54" w:rsidP="00981F54">
      <w:pPr>
        <w:pStyle w:val="ListParagraph"/>
        <w:numPr>
          <w:ilvl w:val="0"/>
          <w:numId w:val="3"/>
        </w:numPr>
        <w:spacing w:after="200"/>
      </w:pPr>
      <w:r>
        <w:t>Conviction investing rather than a diversified market proxy</w:t>
      </w:r>
    </w:p>
    <w:p w:rsidR="00981F54" w:rsidRDefault="00981F54" w:rsidP="00981F54">
      <w:pPr>
        <w:pStyle w:val="ListParagraph"/>
        <w:numPr>
          <w:ilvl w:val="1"/>
          <w:numId w:val="3"/>
        </w:numPr>
        <w:spacing w:after="200"/>
      </w:pPr>
      <w:r>
        <w:t xml:space="preserve">More actively engage with all </w:t>
      </w:r>
      <w:proofErr w:type="spellStart"/>
      <w:r>
        <w:t>LCPF's</w:t>
      </w:r>
      <w:proofErr w:type="spellEnd"/>
      <w:r>
        <w:t xml:space="preserve"> advisers to source best ideas;</w:t>
      </w:r>
    </w:p>
    <w:p w:rsidR="00981F54" w:rsidRDefault="00981F54" w:rsidP="00981F54">
      <w:pPr>
        <w:pStyle w:val="ListParagraph"/>
        <w:numPr>
          <w:ilvl w:val="1"/>
          <w:numId w:val="3"/>
        </w:numPr>
        <w:spacing w:after="200"/>
      </w:pPr>
      <w:r>
        <w:t>Moving to a more concentrated portfolio will be gradual;</w:t>
      </w:r>
    </w:p>
    <w:p w:rsidR="00981F54" w:rsidRDefault="00981F54" w:rsidP="00981F54">
      <w:pPr>
        <w:pStyle w:val="ListParagraph"/>
        <w:numPr>
          <w:ilvl w:val="1"/>
          <w:numId w:val="3"/>
        </w:numPr>
        <w:spacing w:after="200"/>
      </w:pPr>
      <w:r>
        <w:t xml:space="preserve">Decision on size of individual fund commitments is with the </w:t>
      </w:r>
      <w:proofErr w:type="spellStart"/>
      <w:r>
        <w:t>LCPF</w:t>
      </w:r>
      <w:proofErr w:type="spellEnd"/>
      <w:r>
        <w:t>.</w:t>
      </w:r>
    </w:p>
    <w:p w:rsidR="00981F54" w:rsidRDefault="00981F54" w:rsidP="00981F54">
      <w:pPr>
        <w:pStyle w:val="ListParagraph"/>
        <w:numPr>
          <w:ilvl w:val="0"/>
          <w:numId w:val="3"/>
        </w:numPr>
        <w:spacing w:after="200"/>
      </w:pPr>
      <w:r>
        <w:t>Source investments from a broader range of fund managers and advisers</w:t>
      </w:r>
    </w:p>
    <w:p w:rsidR="00981F54" w:rsidRDefault="00981F54" w:rsidP="00981F54">
      <w:pPr>
        <w:pStyle w:val="ListParagraph"/>
        <w:numPr>
          <w:ilvl w:val="1"/>
          <w:numId w:val="3"/>
        </w:numPr>
        <w:spacing w:after="200"/>
      </w:pPr>
      <w:r>
        <w:t>Reduces concentration risk of current limited relationships;</w:t>
      </w:r>
    </w:p>
    <w:p w:rsidR="00981F54" w:rsidRDefault="00981F54" w:rsidP="00981F54">
      <w:pPr>
        <w:pStyle w:val="ListParagraph"/>
        <w:numPr>
          <w:ilvl w:val="1"/>
          <w:numId w:val="3"/>
        </w:numPr>
        <w:spacing w:after="200"/>
      </w:pPr>
      <w:r>
        <w:t xml:space="preserve">Investments </w:t>
      </w:r>
      <w:r w:rsidRPr="008B0BEF">
        <w:rPr>
          <w:u w:val="single"/>
        </w:rPr>
        <w:t>not</w:t>
      </w:r>
      <w:r>
        <w:t xml:space="preserve"> originated by Capital Dynamics are unlikely to be monitored by them and will therefore require closer monitoring by </w:t>
      </w:r>
      <w:proofErr w:type="spellStart"/>
      <w:r>
        <w:t>LCPF</w:t>
      </w:r>
      <w:proofErr w:type="spellEnd"/>
      <w:r>
        <w:t>.</w:t>
      </w:r>
    </w:p>
    <w:p w:rsidR="00981F54" w:rsidRDefault="00981F54" w:rsidP="00981F54">
      <w:pPr>
        <w:pStyle w:val="ListParagraph"/>
        <w:numPr>
          <w:ilvl w:val="0"/>
          <w:numId w:val="3"/>
        </w:numPr>
        <w:spacing w:after="200"/>
      </w:pPr>
      <w:r>
        <w:t>Increase exposure to co-investment funds</w:t>
      </w:r>
    </w:p>
    <w:p w:rsidR="00981F54" w:rsidRDefault="00981F54" w:rsidP="00981F54">
      <w:pPr>
        <w:pStyle w:val="ListParagraph"/>
        <w:numPr>
          <w:ilvl w:val="1"/>
          <w:numId w:val="3"/>
        </w:numPr>
        <w:spacing w:after="200"/>
      </w:pPr>
      <w:r>
        <w:t>This is a continuation of the existing co-investment strategy;</w:t>
      </w:r>
    </w:p>
    <w:p w:rsidR="00981F54" w:rsidRDefault="00981F54" w:rsidP="00981F54">
      <w:pPr>
        <w:pStyle w:val="ListParagraph"/>
        <w:numPr>
          <w:ilvl w:val="1"/>
          <w:numId w:val="3"/>
        </w:numPr>
        <w:spacing w:after="200"/>
      </w:pPr>
      <w:r>
        <w:t>Can offer a similar return to primary funds, at a lower cost.</w:t>
      </w:r>
    </w:p>
    <w:p w:rsidR="00981F54" w:rsidRDefault="00981F54" w:rsidP="00981F54">
      <w:pPr>
        <w:pStyle w:val="ListParagraph"/>
        <w:numPr>
          <w:ilvl w:val="0"/>
          <w:numId w:val="3"/>
        </w:numPr>
        <w:spacing w:after="200"/>
      </w:pPr>
      <w:r>
        <w:t xml:space="preserve">Make co-investments </w:t>
      </w:r>
      <w:r w:rsidRPr="00837DAF">
        <w:rPr>
          <w:u w:val="single"/>
        </w:rPr>
        <w:t>directly</w:t>
      </w:r>
      <w:r>
        <w:t xml:space="preserve"> alongside </w:t>
      </w:r>
      <w:proofErr w:type="spellStart"/>
      <w:r>
        <w:t>LCPF's</w:t>
      </w:r>
      <w:proofErr w:type="spellEnd"/>
      <w:r>
        <w:t xml:space="preserve"> external </w:t>
      </w:r>
      <w:r w:rsidRPr="00D51FD1">
        <w:rPr>
          <w:u w:val="single"/>
        </w:rPr>
        <w:t>co-investment</w:t>
      </w:r>
      <w:r>
        <w:t xml:space="preserve"> funds</w:t>
      </w:r>
    </w:p>
    <w:p w:rsidR="00981F54" w:rsidRDefault="00981F54" w:rsidP="00981F54">
      <w:pPr>
        <w:pStyle w:val="ListParagraph"/>
        <w:numPr>
          <w:ilvl w:val="1"/>
          <w:numId w:val="3"/>
        </w:numPr>
        <w:spacing w:after="200"/>
      </w:pPr>
      <w:r>
        <w:t xml:space="preserve">Where available, </w:t>
      </w:r>
      <w:proofErr w:type="spellStart"/>
      <w:r>
        <w:t>LCPF</w:t>
      </w:r>
      <w:proofErr w:type="spellEnd"/>
      <w:r>
        <w:t xml:space="preserve"> may directly invest in the </w:t>
      </w:r>
      <w:r w:rsidRPr="00F92753">
        <w:rPr>
          <w:u w:val="single"/>
        </w:rPr>
        <w:t>same</w:t>
      </w:r>
      <w:r>
        <w:t xml:space="preserve"> </w:t>
      </w:r>
      <w:r w:rsidRPr="00774936">
        <w:rPr>
          <w:u w:val="single"/>
        </w:rPr>
        <w:t>co-investments</w:t>
      </w:r>
      <w:r>
        <w:t xml:space="preserve"> as its external co-investment fund. The timeliness of co-investing does not allow for external consultant advice, so reliance is placed in the co-investment manager.</w:t>
      </w:r>
    </w:p>
    <w:p w:rsidR="00981F54" w:rsidRDefault="00981F54" w:rsidP="00981F54">
      <w:pPr>
        <w:pStyle w:val="ListParagraph"/>
        <w:numPr>
          <w:ilvl w:val="0"/>
          <w:numId w:val="3"/>
        </w:numPr>
        <w:spacing w:after="200"/>
      </w:pPr>
      <w:r>
        <w:t xml:space="preserve">Make co-investments </w:t>
      </w:r>
      <w:r w:rsidRPr="00D51FD1">
        <w:rPr>
          <w:u w:val="single"/>
        </w:rPr>
        <w:t>directly</w:t>
      </w:r>
      <w:r>
        <w:t xml:space="preserve"> in existing </w:t>
      </w:r>
      <w:proofErr w:type="spellStart"/>
      <w:r>
        <w:t>LCPF</w:t>
      </w:r>
      <w:proofErr w:type="spellEnd"/>
      <w:r>
        <w:t xml:space="preserve"> primary or secondary funds, without an adviser;</w:t>
      </w:r>
    </w:p>
    <w:p w:rsidR="00981F54" w:rsidRDefault="00981F54" w:rsidP="00981F54">
      <w:pPr>
        <w:pStyle w:val="ListParagraph"/>
        <w:numPr>
          <w:ilvl w:val="1"/>
          <w:numId w:val="3"/>
        </w:numPr>
        <w:spacing w:after="200"/>
      </w:pPr>
      <w:r>
        <w:t>The underlying fund would have already been evaluated by an adviser.</w:t>
      </w:r>
    </w:p>
    <w:p w:rsidR="00981F54" w:rsidRDefault="00981F54" w:rsidP="00981F54">
      <w:pPr>
        <w:pStyle w:val="ListParagraph"/>
        <w:numPr>
          <w:ilvl w:val="0"/>
          <w:numId w:val="3"/>
        </w:numPr>
        <w:spacing w:after="200"/>
      </w:pPr>
      <w:r>
        <w:t>Increase investments in secondary funds, where appropriate</w:t>
      </w:r>
    </w:p>
    <w:p w:rsidR="00981F54" w:rsidRDefault="00981F54" w:rsidP="00981F54">
      <w:pPr>
        <w:pStyle w:val="ListParagraph"/>
        <w:numPr>
          <w:ilvl w:val="1"/>
          <w:numId w:val="3"/>
        </w:numPr>
        <w:spacing w:after="200"/>
      </w:pPr>
      <w:r>
        <w:t>This is a continuation of the existing secondary strategy;</w:t>
      </w:r>
    </w:p>
    <w:p w:rsidR="00981F54" w:rsidRPr="009D6859" w:rsidRDefault="00981F54" w:rsidP="00981F54">
      <w:pPr>
        <w:pStyle w:val="ListParagraph"/>
        <w:numPr>
          <w:ilvl w:val="1"/>
          <w:numId w:val="3"/>
        </w:numPr>
        <w:spacing w:after="200"/>
      </w:pPr>
      <w:r w:rsidRPr="009D6859">
        <w:t xml:space="preserve">Where available, </w:t>
      </w:r>
      <w:proofErr w:type="spellStart"/>
      <w:r w:rsidRPr="009D6859">
        <w:t>LCPF</w:t>
      </w:r>
      <w:proofErr w:type="spellEnd"/>
      <w:r w:rsidRPr="009D6859">
        <w:t xml:space="preserve"> may directly invest in the </w:t>
      </w:r>
      <w:r w:rsidRPr="009D6859">
        <w:rPr>
          <w:u w:val="single"/>
        </w:rPr>
        <w:t>same</w:t>
      </w:r>
      <w:r w:rsidRPr="009D6859">
        <w:t xml:space="preserve"> </w:t>
      </w:r>
      <w:r w:rsidRPr="009D6859">
        <w:rPr>
          <w:u w:val="single"/>
        </w:rPr>
        <w:t>underlying</w:t>
      </w:r>
      <w:r w:rsidRPr="009D6859">
        <w:t xml:space="preserve"> </w:t>
      </w:r>
      <w:r w:rsidRPr="00774936">
        <w:rPr>
          <w:u w:val="single"/>
        </w:rPr>
        <w:t>funds</w:t>
      </w:r>
      <w:r w:rsidRPr="009D6859">
        <w:t xml:space="preserve"> as its external secondary manager, without seeking external consultant advice</w:t>
      </w:r>
      <w:r>
        <w:t xml:space="preserve"> placing reliance on the manager's research.</w:t>
      </w:r>
    </w:p>
    <w:p w:rsidR="00981F54" w:rsidRDefault="00981F54" w:rsidP="00981F54">
      <w:pPr>
        <w:pStyle w:val="ListParagraph"/>
        <w:numPr>
          <w:ilvl w:val="0"/>
          <w:numId w:val="3"/>
        </w:numPr>
        <w:spacing w:after="200"/>
      </w:pPr>
      <w:r>
        <w:t>Make direct investments in companies, where available (longer term goal).</w:t>
      </w:r>
    </w:p>
    <w:p w:rsidR="00981F54" w:rsidRPr="00BE3C88" w:rsidRDefault="00981F54" w:rsidP="00981F54">
      <w:pPr>
        <w:rPr>
          <w:b/>
        </w:rPr>
      </w:pPr>
      <w:r w:rsidRPr="00BE3C88">
        <w:rPr>
          <w:b/>
        </w:rPr>
        <w:t>Request for Authorisation</w:t>
      </w:r>
    </w:p>
    <w:p w:rsidR="00981F54" w:rsidRDefault="00981F54" w:rsidP="00981F54">
      <w:pPr>
        <w:rPr>
          <w:b/>
          <w:u w:val="single"/>
        </w:rPr>
      </w:pPr>
    </w:p>
    <w:p w:rsidR="00981F54" w:rsidRDefault="00981F54" w:rsidP="00981F54">
      <w:pPr>
        <w:pStyle w:val="BodyText1"/>
      </w:pPr>
      <w:r>
        <w:t>To achieve the stated aims, the following is requested:</w:t>
      </w:r>
    </w:p>
    <w:p w:rsidR="00981F54" w:rsidRDefault="00981F54" w:rsidP="00981F54">
      <w:pPr>
        <w:pStyle w:val="BodyText1"/>
        <w:numPr>
          <w:ilvl w:val="0"/>
          <w:numId w:val="6"/>
        </w:numPr>
      </w:pPr>
      <w:r>
        <w:t xml:space="preserve">Confirmation of the PE allocation at 7.5% </w:t>
      </w:r>
      <w:proofErr w:type="spellStart"/>
      <w:r w:rsidRPr="00A6106F">
        <w:rPr>
          <w:u w:val="single"/>
        </w:rPr>
        <w:t>NAV</w:t>
      </w:r>
      <w:proofErr w:type="spellEnd"/>
      <w:r w:rsidRPr="00A6106F">
        <w:t xml:space="preserve"> (not commitments)</w:t>
      </w:r>
      <w:r>
        <w:t xml:space="preserve"> as a percentage of the pension fund;</w:t>
      </w:r>
    </w:p>
    <w:p w:rsidR="00981F54" w:rsidRDefault="00981F54" w:rsidP="00981F54">
      <w:pPr>
        <w:pStyle w:val="BodyText1"/>
        <w:numPr>
          <w:ilvl w:val="0"/>
          <w:numId w:val="6"/>
        </w:numPr>
      </w:pPr>
      <w:r>
        <w:t xml:space="preserve">Formally target PE net </w:t>
      </w:r>
      <w:proofErr w:type="spellStart"/>
      <w:r>
        <w:t>IRR</w:t>
      </w:r>
      <w:proofErr w:type="spellEnd"/>
      <w:r>
        <w:t xml:space="preserve"> of FTSE All Share + 3% (with informal use of additional or alternative benchmarks where appropriate, as stated in section 2.2);</w:t>
      </w:r>
    </w:p>
    <w:p w:rsidR="00981F54" w:rsidRDefault="00981F54" w:rsidP="00981F54">
      <w:pPr>
        <w:pStyle w:val="BodyText1"/>
        <w:numPr>
          <w:ilvl w:val="0"/>
          <w:numId w:val="6"/>
        </w:numPr>
      </w:pPr>
      <w:r>
        <w:t xml:space="preserve">Confirmation of the PE Strategy Limits (set out in section </w:t>
      </w:r>
      <w:proofErr w:type="spellStart"/>
      <w:r>
        <w:t>2.4A</w:t>
      </w:r>
      <w:proofErr w:type="spellEnd"/>
      <w:r>
        <w:t>);</w:t>
      </w:r>
    </w:p>
    <w:p w:rsidR="00981F54" w:rsidRDefault="00981F54" w:rsidP="00981F54">
      <w:pPr>
        <w:pStyle w:val="BodyText1"/>
        <w:numPr>
          <w:ilvl w:val="0"/>
          <w:numId w:val="6"/>
        </w:numPr>
      </w:pPr>
      <w:r>
        <w:t xml:space="preserve">Confirmation of the Concentration Limits (set out in section </w:t>
      </w:r>
      <w:proofErr w:type="spellStart"/>
      <w:r>
        <w:t>2.4B</w:t>
      </w:r>
      <w:proofErr w:type="spellEnd"/>
      <w:r>
        <w:t>);</w:t>
      </w:r>
    </w:p>
    <w:p w:rsidR="00981F54" w:rsidRDefault="00981F54" w:rsidP="00981F54">
      <w:pPr>
        <w:pStyle w:val="BodyText1"/>
        <w:numPr>
          <w:ilvl w:val="0"/>
          <w:numId w:val="6"/>
        </w:numPr>
      </w:pPr>
      <w:r>
        <w:t>Authority to purchase individual funds in the secondary market, subject to external advice;</w:t>
      </w:r>
    </w:p>
    <w:p w:rsidR="00981F54" w:rsidRDefault="00981F54" w:rsidP="00981F54">
      <w:pPr>
        <w:pStyle w:val="BodyText1"/>
        <w:numPr>
          <w:ilvl w:val="0"/>
          <w:numId w:val="6"/>
        </w:numPr>
      </w:pPr>
      <w:r>
        <w:t>Authority to invest in co-investment funds, subject to external advice;</w:t>
      </w:r>
    </w:p>
    <w:p w:rsidR="00981F54" w:rsidRDefault="00981F54" w:rsidP="00981F54">
      <w:pPr>
        <w:pStyle w:val="BodyText1"/>
        <w:numPr>
          <w:ilvl w:val="0"/>
          <w:numId w:val="6"/>
        </w:numPr>
      </w:pPr>
      <w:r>
        <w:t>Authority to invest in secondary funds, subject to external advice;</w:t>
      </w:r>
    </w:p>
    <w:p w:rsidR="00981F54" w:rsidRDefault="00981F54" w:rsidP="00981F54">
      <w:pPr>
        <w:pStyle w:val="BodyText1"/>
        <w:numPr>
          <w:ilvl w:val="0"/>
          <w:numId w:val="6"/>
        </w:numPr>
      </w:pPr>
      <w:r>
        <w:t xml:space="preserve">Authority to make co-investments that replicate those made by co-investment funds that </w:t>
      </w:r>
      <w:proofErr w:type="spellStart"/>
      <w:r>
        <w:t>LCPF</w:t>
      </w:r>
      <w:proofErr w:type="spellEnd"/>
      <w:r>
        <w:t xml:space="preserve"> has committed to;</w:t>
      </w:r>
    </w:p>
    <w:p w:rsidR="00981F54" w:rsidRDefault="00981F54" w:rsidP="00981F54">
      <w:pPr>
        <w:pStyle w:val="BodyText1"/>
        <w:numPr>
          <w:ilvl w:val="0"/>
          <w:numId w:val="6"/>
        </w:numPr>
      </w:pPr>
      <w:r>
        <w:t xml:space="preserve">Authority to make co-investments offered by </w:t>
      </w:r>
      <w:proofErr w:type="spellStart"/>
      <w:r>
        <w:t>LCPF's</w:t>
      </w:r>
      <w:proofErr w:type="spellEnd"/>
      <w:r>
        <w:t xml:space="preserve"> primary or secondary PE funds, without external advice, but subject to due diligence from the PE manager offering the co-investment.</w:t>
      </w:r>
    </w:p>
    <w:p w:rsidR="00981F54" w:rsidRDefault="00981F54" w:rsidP="00981F54">
      <w:pPr>
        <w:pStyle w:val="BodyText1"/>
      </w:pPr>
    </w:p>
    <w:p w:rsidR="00981F54" w:rsidRDefault="00981F54" w:rsidP="00981F54"/>
    <w:p w:rsidR="006D06CE" w:rsidRDefault="006D06CE"/>
    <w:sectPr w:rsidR="006D06CE" w:rsidSect="00981F54">
      <w:footerReference w:type="default" r:id="rId13"/>
      <w:footerReference w:type="first" r:id="rId14"/>
      <w:pgSz w:w="11907" w:h="16840" w:code="9"/>
      <w:pgMar w:top="1440" w:right="1440" w:bottom="568" w:left="1440" w:header="720" w:footer="306" w:gutter="0"/>
      <w:paperSrc w:first="7" w:other="7"/>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2852CC">
      <w:tc>
        <w:tcPr>
          <w:tcW w:w="9243" w:type="dxa"/>
          <w:tcBorders>
            <w:top w:val="nil"/>
            <w:left w:val="nil"/>
            <w:bottom w:val="nil"/>
            <w:right w:val="nil"/>
          </w:tcBorders>
        </w:tcPr>
        <w:p w:rsidR="002852CC" w:rsidRDefault="00981F54">
          <w:pPr>
            <w:pStyle w:val="Footer"/>
            <w:tabs>
              <w:tab w:val="clear" w:pos="4153"/>
            </w:tabs>
            <w:ind w:right="-45"/>
            <w:jc w:val="right"/>
          </w:pPr>
        </w:p>
      </w:tc>
    </w:tr>
  </w:tbl>
  <w:p w:rsidR="002852CC" w:rsidRDefault="00981F54">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2852CC">
      <w:tc>
        <w:tcPr>
          <w:tcW w:w="9243" w:type="dxa"/>
          <w:tcBorders>
            <w:top w:val="nil"/>
            <w:left w:val="nil"/>
            <w:bottom w:val="nil"/>
            <w:right w:val="nil"/>
          </w:tcBorders>
        </w:tcPr>
        <w:p w:rsidR="002852CC" w:rsidRDefault="00981F54">
          <w:pPr>
            <w:pStyle w:val="Footer"/>
            <w:tabs>
              <w:tab w:val="clear" w:pos="4153"/>
            </w:tabs>
            <w:ind w:right="-45"/>
            <w:jc w:val="right"/>
          </w:pPr>
          <w:r>
            <w:rPr>
              <w:noProof/>
            </w:rPr>
            <w:drawing>
              <wp:inline distT="0" distB="0" distL="0" distR="0">
                <wp:extent cx="1216025" cy="602615"/>
                <wp:effectExtent l="19050" t="0" r="3175"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16025" cy="602615"/>
                        </a:xfrm>
                        <a:prstGeom prst="rect">
                          <a:avLst/>
                        </a:prstGeom>
                        <a:noFill/>
                        <a:ln w="9525">
                          <a:noFill/>
                          <a:miter lim="800000"/>
                          <a:headEnd/>
                          <a:tailEnd/>
                        </a:ln>
                      </pic:spPr>
                    </pic:pic>
                  </a:graphicData>
                </a:graphic>
              </wp:inline>
            </w:drawing>
          </w:r>
        </w:p>
      </w:tc>
    </w:tr>
  </w:tbl>
  <w:p w:rsidR="002852CC" w:rsidRDefault="00981F54">
    <w:pPr>
      <w:pStyle w:val="Footer"/>
      <w:tabs>
        <w:tab w:val="clear" w:pos="4153"/>
      </w:tabs>
      <w:ind w:right="-45"/>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C4"/>
    <w:multiLevelType w:val="hybridMultilevel"/>
    <w:tmpl w:val="3E28F6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B17AC"/>
    <w:multiLevelType w:val="hybridMultilevel"/>
    <w:tmpl w:val="AF7E1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23F5D"/>
    <w:multiLevelType w:val="multilevel"/>
    <w:tmpl w:val="DD50C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E273A68"/>
    <w:multiLevelType w:val="hybridMultilevel"/>
    <w:tmpl w:val="DEBE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CF0FFF"/>
    <w:multiLevelType w:val="hybridMultilevel"/>
    <w:tmpl w:val="D2DE3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F0526BF"/>
    <w:multiLevelType w:val="hybridMultilevel"/>
    <w:tmpl w:val="16CC0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compat/>
  <w:rsids>
    <w:rsidRoot w:val="00981F54"/>
    <w:rsid w:val="000635D2"/>
    <w:rsid w:val="00114BFD"/>
    <w:rsid w:val="001C0CDB"/>
    <w:rsid w:val="00221367"/>
    <w:rsid w:val="00247E73"/>
    <w:rsid w:val="002B534D"/>
    <w:rsid w:val="00343BAB"/>
    <w:rsid w:val="00437040"/>
    <w:rsid w:val="00501EA8"/>
    <w:rsid w:val="00581E59"/>
    <w:rsid w:val="00697FA8"/>
    <w:rsid w:val="006A0F30"/>
    <w:rsid w:val="006D06CE"/>
    <w:rsid w:val="00706380"/>
    <w:rsid w:val="007369F0"/>
    <w:rsid w:val="007B24CF"/>
    <w:rsid w:val="007C242E"/>
    <w:rsid w:val="00816D9C"/>
    <w:rsid w:val="008858DF"/>
    <w:rsid w:val="008B0A7A"/>
    <w:rsid w:val="0093793B"/>
    <w:rsid w:val="00946593"/>
    <w:rsid w:val="00981F54"/>
    <w:rsid w:val="00A165B6"/>
    <w:rsid w:val="00AB1FDD"/>
    <w:rsid w:val="00B93D7C"/>
    <w:rsid w:val="00C32ED9"/>
    <w:rsid w:val="00C83073"/>
    <w:rsid w:val="00CF5C6B"/>
    <w:rsid w:val="00EE3A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54"/>
    <w:pPr>
      <w:spacing w:after="0" w:line="240" w:lineRule="auto"/>
    </w:pPr>
    <w:rPr>
      <w:rFonts w:eastAsia="Times New Roman" w:cs="Arial"/>
      <w:szCs w:val="24"/>
      <w:lang w:val="en-GB" w:eastAsia="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 w:type="paragraph" w:styleId="Footer">
    <w:name w:val="footer"/>
    <w:basedOn w:val="Normal"/>
    <w:link w:val="FooterChar"/>
    <w:uiPriority w:val="99"/>
    <w:rsid w:val="00981F54"/>
    <w:pPr>
      <w:tabs>
        <w:tab w:val="center" w:pos="4153"/>
        <w:tab w:val="right" w:pos="8306"/>
      </w:tabs>
    </w:pPr>
  </w:style>
  <w:style w:type="character" w:customStyle="1" w:styleId="FooterChar">
    <w:name w:val="Footer Char"/>
    <w:basedOn w:val="DefaultParagraphFont"/>
    <w:link w:val="Footer"/>
    <w:uiPriority w:val="99"/>
    <w:rsid w:val="00981F54"/>
    <w:rPr>
      <w:rFonts w:eastAsia="Times New Roman" w:cs="Arial"/>
      <w:szCs w:val="24"/>
      <w:lang w:val="en-GB" w:eastAsia="en-GB" w:bidi="ar-SA"/>
    </w:rPr>
  </w:style>
  <w:style w:type="paragraph" w:customStyle="1" w:styleId="BodyText1">
    <w:name w:val="Body Text 1"/>
    <w:basedOn w:val="Normal"/>
    <w:link w:val="BodyText1Char"/>
    <w:qFormat/>
    <w:rsid w:val="00981F54"/>
    <w:pPr>
      <w:spacing w:before="60" w:after="120"/>
    </w:pPr>
    <w:rPr>
      <w:rFonts w:eastAsia="Cambria" w:cs="Times New Roman"/>
      <w:color w:val="000000"/>
      <w:szCs w:val="28"/>
      <w:lang w:eastAsia="en-US"/>
    </w:rPr>
  </w:style>
  <w:style w:type="character" w:customStyle="1" w:styleId="BodyText1Char">
    <w:name w:val="Body Text 1 Char"/>
    <w:basedOn w:val="DefaultParagraphFont"/>
    <w:link w:val="BodyText1"/>
    <w:rsid w:val="00981F54"/>
    <w:rPr>
      <w:rFonts w:eastAsia="Cambria"/>
      <w:color w:val="000000"/>
      <w:szCs w:val="28"/>
      <w:lang w:val="en-GB" w:bidi="ar-SA"/>
    </w:rPr>
  </w:style>
  <w:style w:type="paragraph" w:customStyle="1" w:styleId="NJHSubHead1">
    <w:name w:val="NJH Sub Head 1"/>
    <w:basedOn w:val="Normal"/>
    <w:link w:val="NJHSubHead1Char"/>
    <w:uiPriority w:val="1"/>
    <w:qFormat/>
    <w:rsid w:val="00981F54"/>
    <w:pPr>
      <w:spacing w:after="200"/>
    </w:pPr>
    <w:rPr>
      <w:rFonts w:eastAsia="Cambria" w:cs="Times New Roman"/>
      <w:color w:val="000000"/>
      <w:u w:val="single"/>
      <w:lang w:eastAsia="en-US"/>
    </w:rPr>
  </w:style>
  <w:style w:type="character" w:customStyle="1" w:styleId="NJHSubHead1Char">
    <w:name w:val="NJH Sub Head 1 Char"/>
    <w:basedOn w:val="DefaultParagraphFont"/>
    <w:link w:val="NJHSubHead1"/>
    <w:uiPriority w:val="1"/>
    <w:rsid w:val="00981F54"/>
    <w:rPr>
      <w:rFonts w:eastAsia="Cambria"/>
      <w:color w:val="000000"/>
      <w:szCs w:val="24"/>
      <w:u w:val="single"/>
      <w:lang w:val="en-GB" w:bidi="ar-SA"/>
    </w:rPr>
  </w:style>
  <w:style w:type="paragraph" w:styleId="BalloonText">
    <w:name w:val="Balloon Text"/>
    <w:basedOn w:val="Normal"/>
    <w:link w:val="BalloonTextChar"/>
    <w:uiPriority w:val="99"/>
    <w:semiHidden/>
    <w:unhideWhenUsed/>
    <w:rsid w:val="00981F54"/>
    <w:rPr>
      <w:rFonts w:ascii="Tahoma" w:hAnsi="Tahoma" w:cs="Tahoma"/>
      <w:sz w:val="16"/>
      <w:szCs w:val="16"/>
    </w:rPr>
  </w:style>
  <w:style w:type="character" w:customStyle="1" w:styleId="BalloonTextChar">
    <w:name w:val="Balloon Text Char"/>
    <w:basedOn w:val="DefaultParagraphFont"/>
    <w:link w:val="BalloonText"/>
    <w:uiPriority w:val="99"/>
    <w:semiHidden/>
    <w:rsid w:val="00981F54"/>
    <w:rPr>
      <w:rFonts w:ascii="Tahoma" w:eastAsia="Times New Roman"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Finance\TreasMan\Pension%20Fund\Investment%20Research\Private%20Market\PE%20Strategy\IMPORTANT%20DOCS\PE%20ANALYSIS%20at%20Aug%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Res\Finance\TreasMan\Pension%20Fund\Investment%20Research\Private%20Market\PE%20Strategy\PE%20Strategy%20Findings%20from%20Academic%20Research%20041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dLbls>
            <c:dLbl>
              <c:idx val="0"/>
              <c:layout/>
              <c:showVal val="1"/>
              <c:showCatName val="1"/>
            </c:dLbl>
            <c:dLbl>
              <c:idx val="1"/>
              <c:layout/>
              <c:showVal val="1"/>
              <c:showCatName val="1"/>
            </c:dLbl>
            <c:dLbl>
              <c:idx val="2"/>
              <c:layout/>
              <c:showVal val="1"/>
              <c:showCatName val="1"/>
            </c:dLbl>
            <c:dLbl>
              <c:idx val="3"/>
              <c:layout/>
              <c:showVal val="1"/>
              <c:showCatName val="1"/>
            </c:dLbl>
            <c:dLbl>
              <c:idx val="4"/>
              <c:layout/>
              <c:showVal val="1"/>
              <c:showCatName val="1"/>
            </c:dLbl>
            <c:dLbl>
              <c:idx val="5"/>
              <c:layout/>
              <c:showVal val="1"/>
              <c:showCatName val="1"/>
            </c:dLbl>
            <c:dLbl>
              <c:idx val="6"/>
              <c:layout/>
              <c:showVal val="1"/>
              <c:showCatName val="1"/>
            </c:dLbl>
            <c:dLbl>
              <c:idx val="7"/>
              <c:layout/>
              <c:showVal val="1"/>
              <c:showCatName val="1"/>
            </c:dLbl>
            <c:dLbl>
              <c:idx val="8"/>
              <c:layout/>
              <c:showVal val="1"/>
              <c:showCatName val="1"/>
            </c:dLbl>
            <c:txPr>
              <a:bodyPr/>
              <a:lstStyle/>
              <a:p>
                <a:pPr>
                  <a:defRPr baseline="0">
                    <a:solidFill>
                      <a:sysClr val="windowText" lastClr="000000"/>
                    </a:solidFill>
                  </a:defRPr>
                </a:pPr>
                <a:endParaRPr lang="en-US"/>
              </a:p>
            </c:txPr>
            <c:showCatName val="1"/>
            <c:showLeaderLines val="1"/>
          </c:dLbls>
          <c:cat>
            <c:strRef>
              <c:f>('Returns Analysed Fixed'!$AM$10:$AM$17,'Returns Analysed Fixed'!$AM$20)</c:f>
              <c:strCache>
                <c:ptCount val="9"/>
                <c:pt idx="0">
                  <c:v>Alpha</c:v>
                </c:pt>
                <c:pt idx="1">
                  <c:v>Apax Europe</c:v>
                </c:pt>
                <c:pt idx="2">
                  <c:v>CapDyn</c:v>
                </c:pt>
                <c:pt idx="3">
                  <c:v>Charterhouse</c:v>
                </c:pt>
                <c:pt idx="4">
                  <c:v>Close/ CBPE</c:v>
                </c:pt>
                <c:pt idx="5">
                  <c:v>ECI</c:v>
                </c:pt>
                <c:pt idx="6">
                  <c:v>EQT</c:v>
                </c:pt>
                <c:pt idx="7">
                  <c:v>Permira</c:v>
                </c:pt>
                <c:pt idx="8">
                  <c:v>Others (20 Managers)</c:v>
                </c:pt>
              </c:strCache>
            </c:strRef>
          </c:cat>
          <c:val>
            <c:numRef>
              <c:f>('Returns Analysed Fixed'!$AN$10:$AN$17,'Returns Analysed Fixed'!$AN$20)</c:f>
              <c:numCache>
                <c:formatCode>0%</c:formatCode>
                <c:ptCount val="9"/>
                <c:pt idx="0">
                  <c:v>3.8705291702584015E-2</c:v>
                </c:pt>
                <c:pt idx="1">
                  <c:v>8.8763317275306702E-2</c:v>
                </c:pt>
                <c:pt idx="2">
                  <c:v>0.42748376103941643</c:v>
                </c:pt>
                <c:pt idx="3">
                  <c:v>7.8412680893342593E-2</c:v>
                </c:pt>
                <c:pt idx="4">
                  <c:v>3.5348272792558789E-2</c:v>
                </c:pt>
                <c:pt idx="5">
                  <c:v>4.2383506488577874E-2</c:v>
                </c:pt>
                <c:pt idx="6">
                  <c:v>8.5132514539242546E-2</c:v>
                </c:pt>
                <c:pt idx="7">
                  <c:v>6.1538403131206933E-2</c:v>
                </c:pt>
                <c:pt idx="8">
                  <c:v>0.14223225213776741</c:v>
                </c:pt>
              </c:numCache>
            </c:numRef>
          </c:val>
        </c:ser>
        <c:firstSliceAng val="0"/>
      </c:pieChart>
    </c:plotArea>
    <c:plotVisOnly val="1"/>
    <c:dispBlanksAs val="zero"/>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1"/>
          <c:order val="0"/>
          <c:cat>
            <c:numRef>
              <c:f>'Fund Types NAV Apr 2013'!$AL$101:$AU$101</c:f>
              <c:numCache>
                <c:formatCode>General</c:formatCode>
                <c:ptCount val="10"/>
                <c:pt idx="0">
                  <c:v>2012</c:v>
                </c:pt>
                <c:pt idx="1">
                  <c:v>2011</c:v>
                </c:pt>
                <c:pt idx="2">
                  <c:v>2010</c:v>
                </c:pt>
                <c:pt idx="3">
                  <c:v>2009</c:v>
                </c:pt>
                <c:pt idx="4">
                  <c:v>2008</c:v>
                </c:pt>
                <c:pt idx="5">
                  <c:v>2007</c:v>
                </c:pt>
                <c:pt idx="6">
                  <c:v>2006</c:v>
                </c:pt>
                <c:pt idx="7">
                  <c:v>2005</c:v>
                </c:pt>
                <c:pt idx="8">
                  <c:v>2004</c:v>
                </c:pt>
                <c:pt idx="9">
                  <c:v>2003</c:v>
                </c:pt>
              </c:numCache>
            </c:numRef>
          </c:cat>
          <c:val>
            <c:numRef>
              <c:f>'Fund Types NAV Apr 2013'!$AL$102:$AU$102</c:f>
              <c:numCache>
                <c:formatCode>#,##0_ ;\-#,##0\ </c:formatCode>
                <c:ptCount val="10"/>
                <c:pt idx="0">
                  <c:v>4.615384615384615</c:v>
                </c:pt>
                <c:pt idx="1">
                  <c:v>73.13</c:v>
                </c:pt>
                <c:pt idx="2">
                  <c:v>115.621</c:v>
                </c:pt>
                <c:pt idx="3">
                  <c:v>32.5</c:v>
                </c:pt>
                <c:pt idx="4">
                  <c:v>2.347</c:v>
                </c:pt>
                <c:pt idx="5">
                  <c:v>5.6209999999999889</c:v>
                </c:pt>
                <c:pt idx="6">
                  <c:v>77.236999999999995</c:v>
                </c:pt>
                <c:pt idx="7">
                  <c:v>43.269000000000013</c:v>
                </c:pt>
                <c:pt idx="8">
                  <c:v>21.888000000000002</c:v>
                </c:pt>
                <c:pt idx="9">
                  <c:v>16.129000000000001</c:v>
                </c:pt>
              </c:numCache>
            </c:numRef>
          </c:val>
        </c:ser>
        <c:axId val="109709568"/>
        <c:axId val="110161920"/>
      </c:barChart>
      <c:catAx>
        <c:axId val="109709568"/>
        <c:scaling>
          <c:orientation val="minMax"/>
        </c:scaling>
        <c:axPos val="b"/>
        <c:numFmt formatCode="General" sourceLinked="1"/>
        <c:tickLblPos val="nextTo"/>
        <c:crossAx val="110161920"/>
        <c:crosses val="autoZero"/>
        <c:auto val="1"/>
        <c:lblAlgn val="ctr"/>
        <c:lblOffset val="100"/>
      </c:catAx>
      <c:valAx>
        <c:axId val="110161920"/>
        <c:scaling>
          <c:orientation val="minMax"/>
        </c:scaling>
        <c:axPos val="l"/>
        <c:majorGridlines/>
        <c:numFmt formatCode="#,##0_ ;\-#,##0\ " sourceLinked="1"/>
        <c:tickLblPos val="nextTo"/>
        <c:crossAx val="1097095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1984</Words>
  <Characters>11309</Characters>
  <Application>Microsoft Office Word</Application>
  <DocSecurity>0</DocSecurity>
  <Lines>94</Lines>
  <Paragraphs>26</Paragraphs>
  <ScaleCrop>false</ScaleCrop>
  <Company>LCC</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2013-08-22T12:53:00Z</dcterms:created>
  <dcterms:modified xsi:type="dcterms:W3CDTF">2013-08-22T12:59:00Z</dcterms:modified>
</cp:coreProperties>
</file>